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B4E5C"/>
    <w:p w14:paraId="68C9F669"/>
    <w:p w14:paraId="26FF15EE"/>
    <w:p w14:paraId="22F901A3">
      <w:pPr>
        <w:jc w:val="center"/>
      </w:pPr>
    </w:p>
    <w:p w14:paraId="45C08A34">
      <w:pPr>
        <w:ind w:firstLine="360" w:firstLineChars="100"/>
        <w:jc w:val="center"/>
        <w:rPr>
          <w:sz w:val="36"/>
        </w:rPr>
      </w:pPr>
    </w:p>
    <w:p w14:paraId="0682CB61">
      <w:pPr>
        <w:ind w:firstLine="360" w:firstLineChars="100"/>
        <w:jc w:val="center"/>
        <w:rPr>
          <w:sz w:val="36"/>
        </w:rPr>
      </w:pPr>
    </w:p>
    <w:p w14:paraId="62C0FD96">
      <w:pPr>
        <w:ind w:firstLine="360" w:firstLineChars="100"/>
        <w:jc w:val="center"/>
        <w:rPr>
          <w:sz w:val="36"/>
        </w:rPr>
      </w:pPr>
    </w:p>
    <w:p w14:paraId="20CD49EC">
      <w:pPr>
        <w:ind w:firstLine="360" w:firstLineChars="100"/>
        <w:jc w:val="center"/>
        <w:rPr>
          <w:sz w:val="36"/>
        </w:rPr>
      </w:pPr>
    </w:p>
    <w:p w14:paraId="7E99A1D2">
      <w:pPr>
        <w:spacing w:line="720" w:lineRule="auto"/>
        <w:jc w:val="center"/>
        <w:rPr>
          <w:b/>
          <w:sz w:val="44"/>
          <w:szCs w:val="44"/>
        </w:rPr>
      </w:pPr>
      <w:r>
        <w:rPr>
          <w:rFonts w:hint="eastAsia"/>
          <w:b/>
          <w:sz w:val="44"/>
          <w:szCs w:val="44"/>
        </w:rPr>
        <w:t>《</w:t>
      </w:r>
      <w:r>
        <w:rPr>
          <w:rFonts w:hint="eastAsia"/>
          <w:b/>
          <w:sz w:val="44"/>
          <w:szCs w:val="44"/>
          <w:lang w:eastAsia="zh-CN"/>
        </w:rPr>
        <w:t>交流</w:t>
      </w:r>
      <w:r>
        <w:rPr>
          <w:rFonts w:hint="eastAsia"/>
          <w:b/>
          <w:sz w:val="44"/>
          <w:szCs w:val="44"/>
        </w:rPr>
        <w:t>标准电能表检定规程》</w:t>
      </w:r>
    </w:p>
    <w:p w14:paraId="66E1F33E">
      <w:pPr>
        <w:spacing w:line="720" w:lineRule="auto"/>
        <w:jc w:val="center"/>
        <w:rPr>
          <w:rFonts w:ascii="仿宋_GB2312" w:eastAsia="仿宋_GB2312"/>
          <w:b/>
          <w:sz w:val="44"/>
          <w:szCs w:val="44"/>
        </w:rPr>
      </w:pPr>
      <w:r>
        <w:rPr>
          <w:rFonts w:hint="eastAsia" w:ascii="仿宋_GB2312" w:eastAsia="仿宋_GB2312"/>
          <w:b/>
          <w:sz w:val="44"/>
          <w:szCs w:val="44"/>
        </w:rPr>
        <w:t>测量不确定度评定报告</w:t>
      </w:r>
    </w:p>
    <w:p w14:paraId="053D7867">
      <w:pPr>
        <w:ind w:firstLine="360" w:firstLineChars="100"/>
        <w:jc w:val="center"/>
        <w:rPr>
          <w:sz w:val="36"/>
        </w:rPr>
      </w:pPr>
    </w:p>
    <w:p w14:paraId="2240C9F5"/>
    <w:p w14:paraId="2A907ADF"/>
    <w:p w14:paraId="03C67FB4"/>
    <w:p w14:paraId="711DC2D4"/>
    <w:p w14:paraId="1DC81FD3"/>
    <w:p w14:paraId="2179AF35"/>
    <w:p w14:paraId="544337A7"/>
    <w:p w14:paraId="31BAF2BC">
      <w:pPr>
        <w:jc w:val="center"/>
        <w:rPr>
          <w:sz w:val="20"/>
        </w:rPr>
      </w:pPr>
    </w:p>
    <w:p w14:paraId="6BFEF3CE">
      <w:pPr>
        <w:jc w:val="center"/>
        <w:rPr>
          <w:sz w:val="20"/>
        </w:rPr>
      </w:pPr>
    </w:p>
    <w:p w14:paraId="2EDC1A0D">
      <w:pPr>
        <w:jc w:val="center"/>
        <w:rPr>
          <w:sz w:val="20"/>
        </w:rPr>
      </w:pPr>
    </w:p>
    <w:p w14:paraId="4CE03412">
      <w:pPr>
        <w:jc w:val="center"/>
        <w:rPr>
          <w:sz w:val="20"/>
        </w:rPr>
      </w:pPr>
    </w:p>
    <w:p w14:paraId="503A7E17">
      <w:pPr>
        <w:jc w:val="center"/>
        <w:rPr>
          <w:sz w:val="20"/>
        </w:rPr>
      </w:pPr>
    </w:p>
    <w:p w14:paraId="6F04133E">
      <w:pPr>
        <w:jc w:val="center"/>
        <w:rPr>
          <w:sz w:val="20"/>
        </w:rPr>
      </w:pPr>
    </w:p>
    <w:p w14:paraId="0A631807">
      <w:pPr>
        <w:jc w:val="center"/>
        <w:rPr>
          <w:sz w:val="20"/>
        </w:rPr>
      </w:pPr>
    </w:p>
    <w:p w14:paraId="169D8A9B">
      <w:pPr>
        <w:jc w:val="center"/>
        <w:rPr>
          <w:sz w:val="20"/>
        </w:rPr>
      </w:pPr>
    </w:p>
    <w:p w14:paraId="34DB096B">
      <w:pPr>
        <w:jc w:val="center"/>
        <w:rPr>
          <w:sz w:val="20"/>
        </w:rPr>
      </w:pPr>
    </w:p>
    <w:p w14:paraId="52050EAF">
      <w:pPr>
        <w:jc w:val="center"/>
        <w:rPr>
          <w:sz w:val="20"/>
        </w:rPr>
      </w:pPr>
    </w:p>
    <w:p w14:paraId="27112DFC">
      <w:pPr>
        <w:jc w:val="center"/>
        <w:rPr>
          <w:rFonts w:eastAsia="仿宋_GB2312"/>
          <w:b/>
          <w:sz w:val="32"/>
          <w:szCs w:val="32"/>
        </w:rPr>
      </w:pPr>
      <w:r>
        <w:rPr>
          <w:rFonts w:hint="eastAsia" w:eastAsia="仿宋_GB2312"/>
          <w:b/>
          <w:sz w:val="32"/>
          <w:szCs w:val="32"/>
        </w:rPr>
        <w:t>检定规程编制工作组</w:t>
      </w:r>
    </w:p>
    <w:p w14:paraId="2543F58F">
      <w:pPr>
        <w:jc w:val="center"/>
        <w:rPr>
          <w:b/>
          <w:sz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eastAsia="仿宋_GB2312"/>
          <w:b/>
          <w:color w:val="000000"/>
          <w:sz w:val="32"/>
          <w:szCs w:val="32"/>
        </w:rPr>
        <w:t>20</w:t>
      </w:r>
      <w:r>
        <w:rPr>
          <w:rFonts w:hint="eastAsia" w:eastAsia="仿宋_GB2312"/>
          <w:b/>
          <w:color w:val="000000"/>
          <w:sz w:val="32"/>
          <w:szCs w:val="32"/>
        </w:rPr>
        <w:t>26</w:t>
      </w:r>
      <w:r>
        <w:rPr>
          <w:rFonts w:eastAsia="仿宋_GB2312"/>
          <w:b/>
          <w:sz w:val="32"/>
          <w:szCs w:val="32"/>
        </w:rPr>
        <w:t>年</w:t>
      </w:r>
      <w:r>
        <w:rPr>
          <w:rFonts w:hint="eastAsia" w:eastAsia="仿宋_GB2312"/>
          <w:b/>
          <w:sz w:val="32"/>
          <w:szCs w:val="32"/>
        </w:rPr>
        <w:t>0</w:t>
      </w:r>
      <w:r>
        <w:rPr>
          <w:rFonts w:hint="eastAsia" w:eastAsia="仿宋_GB2312"/>
          <w:b/>
          <w:sz w:val="32"/>
          <w:szCs w:val="32"/>
          <w:lang w:val="en-US" w:eastAsia="zh-CN"/>
        </w:rPr>
        <w:t>7</w:t>
      </w:r>
      <w:r>
        <w:rPr>
          <w:rFonts w:eastAsia="仿宋_GB2312"/>
          <w:b/>
          <w:sz w:val="32"/>
          <w:szCs w:val="32"/>
        </w:rPr>
        <w:t>月</w:t>
      </w:r>
    </w:p>
    <w:p w14:paraId="3B302785">
      <w:pPr>
        <w:jc w:val="center"/>
        <w:rPr>
          <w:sz w:val="20"/>
        </w:rPr>
      </w:pPr>
    </w:p>
    <w:p w14:paraId="4168F87A">
      <w:pPr>
        <w:jc w:val="center"/>
        <w:rPr>
          <w:b/>
          <w:sz w:val="32"/>
          <w:szCs w:val="32"/>
        </w:rPr>
      </w:pPr>
      <w:r>
        <w:rPr>
          <w:rFonts w:hint="eastAsia"/>
          <w:b/>
          <w:sz w:val="32"/>
          <w:szCs w:val="32"/>
          <w:lang w:eastAsia="zh-CN"/>
        </w:rPr>
        <w:t>交流</w:t>
      </w:r>
      <w:r>
        <w:rPr>
          <w:rFonts w:hint="eastAsia"/>
          <w:b/>
          <w:sz w:val="32"/>
          <w:szCs w:val="32"/>
        </w:rPr>
        <w:t>标准电能表</w:t>
      </w:r>
      <w:r>
        <w:rPr>
          <w:b/>
          <w:sz w:val="32"/>
          <w:szCs w:val="32"/>
        </w:rPr>
        <w:t>测量不确定度的评定</w:t>
      </w:r>
    </w:p>
    <w:p w14:paraId="73112E05">
      <w:pPr>
        <w:ind w:firstLine="281" w:firstLineChars="100"/>
        <w:jc w:val="center"/>
        <w:rPr>
          <w:b/>
          <w:sz w:val="28"/>
        </w:rPr>
      </w:pPr>
    </w:p>
    <w:p w14:paraId="4959F2E4">
      <w:pPr>
        <w:spacing w:before="156" w:beforeLines="50"/>
        <w:rPr>
          <w:b/>
          <w:sz w:val="24"/>
        </w:rPr>
      </w:pPr>
      <w:r>
        <w:rPr>
          <w:rFonts w:hint="eastAsia"/>
          <w:b/>
          <w:sz w:val="24"/>
        </w:rPr>
        <w:t>一、</w:t>
      </w:r>
      <w:r>
        <w:rPr>
          <w:rFonts w:hint="eastAsia"/>
          <w:b/>
          <w:sz w:val="24"/>
          <w:lang w:eastAsia="zh-CN"/>
        </w:rPr>
        <w:t>示值</w:t>
      </w:r>
      <w:r>
        <w:rPr>
          <w:rFonts w:hint="eastAsia"/>
          <w:b/>
          <w:sz w:val="24"/>
        </w:rPr>
        <w:t>参数测量结果不确定度评定</w:t>
      </w:r>
    </w:p>
    <w:p w14:paraId="52D0D3ED">
      <w:pPr>
        <w:spacing w:before="156" w:beforeLines="50"/>
      </w:pPr>
      <w:r>
        <w:rPr>
          <w:rFonts w:hint="eastAsia"/>
          <w:b/>
          <w:sz w:val="24"/>
        </w:rPr>
        <w:t>（一）概述</w:t>
      </w:r>
    </w:p>
    <w:p w14:paraId="4F5379C7">
      <w:pPr>
        <w:spacing w:before="156" w:beforeLines="50"/>
        <w:ind w:left="420"/>
      </w:pPr>
      <w:r>
        <w:rPr>
          <w:bCs/>
        </w:rPr>
        <w:t>1．测量依据：</w:t>
      </w:r>
      <w:r>
        <w:rPr>
          <w:rFonts w:hint="eastAsia"/>
          <w:bCs/>
        </w:rPr>
        <w:t>《</w:t>
      </w:r>
      <w:r>
        <w:rPr>
          <w:rFonts w:hint="eastAsia"/>
          <w:bCs/>
          <w:lang w:eastAsia="zh-CN"/>
        </w:rPr>
        <w:t>交流</w:t>
      </w:r>
      <w:r>
        <w:rPr>
          <w:rFonts w:hint="eastAsia"/>
          <w:bCs/>
        </w:rPr>
        <w:t>标准电能表检定规程（征求意见稿）》</w:t>
      </w:r>
    </w:p>
    <w:p w14:paraId="5073A5A1">
      <w:pPr>
        <w:spacing w:before="156" w:beforeLines="50"/>
        <w:ind w:left="420"/>
      </w:pPr>
      <w:r>
        <w:rPr>
          <w:bCs/>
        </w:rPr>
        <w:t>2．</w:t>
      </w:r>
      <w:r>
        <w:rPr>
          <w:rFonts w:hint="eastAsia"/>
          <w:bCs/>
        </w:rPr>
        <w:t>评定</w:t>
      </w:r>
      <w:r>
        <w:rPr>
          <w:bCs/>
        </w:rPr>
        <w:t>依据：</w:t>
      </w:r>
      <w:r>
        <w:rPr>
          <w:rFonts w:hint="eastAsia"/>
          <w:bCs/>
        </w:rPr>
        <w:t>JJF 1059.1-2012《测量不确定度评定与表示》</w:t>
      </w:r>
    </w:p>
    <w:p w14:paraId="7FA5DF43">
      <w:pPr>
        <w:spacing w:before="156" w:beforeLines="50"/>
        <w:ind w:left="420"/>
        <w:rPr>
          <w:rFonts w:hint="default" w:eastAsia="宋体"/>
          <w:bCs/>
          <w:lang w:val="en-US" w:eastAsia="zh-CN"/>
        </w:rPr>
      </w:pPr>
      <w:r>
        <w:rPr>
          <w:bCs/>
        </w:rPr>
        <w:t>3．环境温度：（</w:t>
      </w:r>
      <w:r>
        <w:rPr>
          <w:rFonts w:hint="eastAsia"/>
          <w:bCs/>
        </w:rPr>
        <w:t>21~25</w:t>
      </w:r>
      <w:r>
        <w:rPr>
          <w:bCs/>
        </w:rPr>
        <w:t>）℃</w:t>
      </w:r>
      <w:r>
        <w:rPr>
          <w:rFonts w:hint="eastAsia"/>
          <w:bCs/>
        </w:rPr>
        <w:t>，</w:t>
      </w:r>
      <w:r>
        <w:rPr>
          <w:rFonts w:hint="eastAsia"/>
          <w:bCs/>
          <w:lang w:eastAsia="zh-CN"/>
        </w:rPr>
        <w:t>相对</w:t>
      </w:r>
      <w:r>
        <w:rPr>
          <w:rFonts w:hint="eastAsia"/>
          <w:bCs/>
        </w:rPr>
        <w:t>湿度：（45~</w:t>
      </w:r>
      <w:r>
        <w:rPr>
          <w:rFonts w:hint="eastAsia"/>
          <w:bCs/>
          <w:lang w:val="en-US" w:eastAsia="zh-CN"/>
        </w:rPr>
        <w:t>7</w:t>
      </w:r>
      <w:r>
        <w:rPr>
          <w:rFonts w:hint="eastAsia"/>
          <w:bCs/>
        </w:rPr>
        <w:t>5）%</w:t>
      </w:r>
      <w:r>
        <w:rPr>
          <w:rFonts w:hint="eastAsia"/>
          <w:bCs/>
          <w:lang w:val="en-US" w:eastAsia="zh-CN"/>
        </w:rPr>
        <w:t xml:space="preserve">                                                                                      </w:t>
      </w:r>
    </w:p>
    <w:p w14:paraId="679864DE">
      <w:pPr>
        <w:spacing w:before="156" w:beforeLines="50" w:line="240" w:lineRule="atLeast"/>
        <w:ind w:left="420"/>
        <w:rPr>
          <w:rFonts w:hint="default"/>
          <w:lang w:val="en-US"/>
        </w:rPr>
      </w:pPr>
      <w:r>
        <w:rPr>
          <w:bCs/>
        </w:rPr>
        <w:t>4．</w:t>
      </w:r>
      <w:r>
        <w:t>测量标准</w:t>
      </w:r>
      <w:r>
        <w:rPr>
          <w:bCs/>
        </w:rPr>
        <w:t>：</w:t>
      </w:r>
      <w:r>
        <w:rPr>
          <w:rFonts w:hint="eastAsia"/>
          <w:bCs/>
          <w:lang w:val="en-US" w:eastAsia="zh-CN"/>
        </w:rPr>
        <w:t>0.01级</w:t>
      </w:r>
      <w:r>
        <w:rPr>
          <w:rFonts w:hint="eastAsia"/>
          <w:lang w:eastAsia="zh-CN"/>
        </w:rPr>
        <w:t>三相电能表检验装置</w:t>
      </w:r>
      <w:r>
        <w:rPr>
          <w:rFonts w:hint="eastAsia"/>
          <w:lang w:val="en-US" w:eastAsia="zh-CN"/>
        </w:rPr>
        <w:t xml:space="preserve">                                                                                                                         </w:t>
      </w:r>
    </w:p>
    <w:p w14:paraId="6B3ABD81">
      <w:pPr>
        <w:spacing w:before="156" w:beforeLines="50" w:line="240" w:lineRule="atLeast"/>
        <w:ind w:left="420" w:firstLine="210" w:firstLineChars="100"/>
      </w:pPr>
      <w:r>
        <w:t>测量范围：电压：</w:t>
      </w:r>
      <w:r>
        <w:rPr>
          <w:rFonts w:hint="default" w:ascii="Times New Roman" w:hAnsi="Times New Roman" w:cs="Times New Roman"/>
          <w:color w:val="auto"/>
          <w:sz w:val="24"/>
        </w:rPr>
        <w:t>3×(</w:t>
      </w:r>
      <w:r>
        <w:rPr>
          <w:rFonts w:hint="default" w:ascii="Times New Roman" w:hAnsi="Times New Roman" w:cs="Times New Roman"/>
          <w:color w:val="auto"/>
          <w:sz w:val="24"/>
          <w:lang w:val="en-US" w:eastAsia="zh-CN"/>
        </w:rPr>
        <w:t>57.7</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3</w:t>
      </w:r>
      <w:r>
        <w:rPr>
          <w:rFonts w:hint="default" w:ascii="Times New Roman" w:hAnsi="Times New Roman" w:cs="Times New Roman"/>
          <w:color w:val="auto"/>
          <w:sz w:val="24"/>
        </w:rPr>
        <w:t>80)V，</w:t>
      </w:r>
      <w:r>
        <w:t>电流：</w:t>
      </w:r>
      <w:r>
        <w:rPr>
          <w:rFonts w:hint="default" w:ascii="Times New Roman" w:hAnsi="Times New Roman" w:cs="Times New Roman"/>
          <w:color w:val="auto"/>
          <w:sz w:val="24"/>
        </w:rPr>
        <w:t>3×(</w:t>
      </w:r>
      <w:r>
        <w:rPr>
          <w:rFonts w:hint="default" w:ascii="Times New Roman" w:hAnsi="Times New Roman" w:cs="Times New Roman"/>
          <w:color w:val="auto"/>
          <w:sz w:val="24"/>
          <w:lang w:val="en-US" w:eastAsia="zh-CN"/>
        </w:rPr>
        <w:t>50mA</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1</w:t>
      </w:r>
      <w:r>
        <w:rPr>
          <w:rFonts w:hint="default" w:ascii="Times New Roman" w:hAnsi="Times New Roman" w:cs="Times New Roman"/>
          <w:color w:val="auto"/>
          <w:sz w:val="24"/>
        </w:rPr>
        <w:t>00A)</w:t>
      </w:r>
    </w:p>
    <w:p w14:paraId="4784E377">
      <w:pPr>
        <w:spacing w:before="156" w:beforeLines="50" w:line="240" w:lineRule="atLeast"/>
        <w:ind w:firstLine="630" w:firstLineChars="300"/>
        <w:rPr>
          <w:rFonts w:hint="eastAsia" w:eastAsia="宋体"/>
          <w:lang w:val="en-US" w:eastAsia="zh-CN"/>
        </w:rPr>
      </w:pPr>
      <w:r>
        <w:t>准确度等级：电压：±0.</w:t>
      </w:r>
      <w:r>
        <w:rPr>
          <w:rFonts w:hint="eastAsia"/>
          <w:lang w:val="en-US" w:eastAsia="zh-CN"/>
        </w:rPr>
        <w:t>008</w:t>
      </w:r>
      <w:r>
        <w:rPr>
          <w:rFonts w:hint="eastAsia"/>
        </w:rPr>
        <w:t>%</w:t>
      </w:r>
      <w:r>
        <w:rPr>
          <w:rFonts w:hint="eastAsia"/>
          <w:lang w:eastAsia="zh-CN"/>
        </w:rPr>
        <w:t>，</w:t>
      </w:r>
      <w:r>
        <w:t>电流：±0.</w:t>
      </w:r>
      <w:r>
        <w:rPr>
          <w:rFonts w:hint="eastAsia"/>
          <w:lang w:val="en-US" w:eastAsia="zh-CN"/>
        </w:rPr>
        <w:t>006</w:t>
      </w:r>
      <w:r>
        <w:rPr>
          <w:rFonts w:hint="eastAsia"/>
        </w:rPr>
        <w:t>%</w:t>
      </w:r>
      <w:r>
        <w:rPr>
          <w:rFonts w:hint="eastAsia"/>
          <w:lang w:eastAsia="zh-CN"/>
        </w:rPr>
        <w:t>，</w:t>
      </w:r>
      <w:r>
        <w:rPr>
          <w:rFonts w:hint="eastAsia"/>
          <w:szCs w:val="21"/>
          <w:lang w:eastAsia="zh-CN"/>
        </w:rPr>
        <w:t>功率：</w:t>
      </w:r>
      <w:r>
        <w:t>±0.</w:t>
      </w:r>
      <w:r>
        <w:rPr>
          <w:rFonts w:hint="eastAsia"/>
          <w:lang w:val="en-US" w:eastAsia="zh-CN"/>
        </w:rPr>
        <w:t>019</w:t>
      </w:r>
      <w:r>
        <w:rPr>
          <w:rFonts w:hint="eastAsia"/>
        </w:rPr>
        <w:t>%</w:t>
      </w:r>
      <w:r>
        <w:rPr>
          <w:rFonts w:hint="eastAsia"/>
          <w:lang w:eastAsia="zh-CN"/>
        </w:rPr>
        <w:t>，相位：</w:t>
      </w:r>
      <w:r>
        <w:t>±</w:t>
      </w:r>
      <w:r>
        <w:rPr>
          <w:rFonts w:hint="eastAsia"/>
          <w:lang w:val="en-US" w:eastAsia="zh-CN"/>
        </w:rPr>
        <w:t>0.003</w:t>
      </w:r>
      <w:r>
        <w:rPr>
          <w:rFonts w:ascii="Times New Roman" w:hAnsi="Times New Roman"/>
          <w:szCs w:val="21"/>
        </w:rPr>
        <w:t>°</w:t>
      </w:r>
      <w:r>
        <w:rPr>
          <w:rFonts w:hint="eastAsia"/>
          <w:szCs w:val="21"/>
          <w:lang w:eastAsia="zh-CN"/>
        </w:rPr>
        <w:t>，</w:t>
      </w:r>
      <w:r>
        <w:rPr>
          <w:rFonts w:hint="eastAsia"/>
          <w:lang w:eastAsia="zh-CN"/>
        </w:rPr>
        <w:t>频率：</w:t>
      </w:r>
      <w:r>
        <w:t>±0.</w:t>
      </w:r>
      <w:r>
        <w:rPr>
          <w:rFonts w:hint="eastAsia"/>
          <w:lang w:val="en-US" w:eastAsia="zh-CN"/>
        </w:rPr>
        <w:t>0014</w:t>
      </w:r>
      <w:r>
        <w:rPr>
          <w:rFonts w:hint="eastAsia"/>
        </w:rPr>
        <w:t>%</w:t>
      </w:r>
    </w:p>
    <w:p w14:paraId="501731C2">
      <w:pPr>
        <w:spacing w:before="156" w:beforeLines="50"/>
        <w:ind w:firstLine="420" w:firstLineChars="200"/>
        <w:rPr>
          <w:rFonts w:hint="eastAsia"/>
          <w:lang w:eastAsia="zh-CN"/>
        </w:rPr>
      </w:pPr>
      <w:r>
        <w:rPr>
          <w:bCs/>
        </w:rPr>
        <w:t>5．被测</w:t>
      </w:r>
      <w:r>
        <w:rPr>
          <w:rFonts w:hint="eastAsia"/>
          <w:bCs/>
        </w:rPr>
        <w:t>对象</w:t>
      </w:r>
      <w:r>
        <w:rPr>
          <w:bCs/>
        </w:rPr>
        <w:t>：</w:t>
      </w:r>
      <w:r>
        <w:rPr>
          <w:rFonts w:hint="eastAsia"/>
          <w:bCs/>
        </w:rPr>
        <w:t>0.</w:t>
      </w:r>
      <w:r>
        <w:rPr>
          <w:rFonts w:hint="eastAsia"/>
          <w:bCs/>
          <w:lang w:val="en-US" w:eastAsia="zh-CN"/>
        </w:rPr>
        <w:t>05</w:t>
      </w:r>
      <w:r>
        <w:rPr>
          <w:rFonts w:hint="eastAsia"/>
          <w:bCs/>
        </w:rPr>
        <w:t>级</w:t>
      </w:r>
      <w:r>
        <w:rPr>
          <w:rFonts w:hint="eastAsia"/>
          <w:lang w:val="en-US" w:eastAsia="zh-CN"/>
        </w:rPr>
        <w:t>三相多功能标准电能表</w:t>
      </w:r>
    </w:p>
    <w:p w14:paraId="24DCBE0A">
      <w:pPr>
        <w:spacing w:before="156" w:beforeLines="50" w:line="360" w:lineRule="auto"/>
        <w:ind w:firstLine="420" w:firstLineChars="200"/>
      </w:pPr>
      <w:r>
        <w:t>6．测量</w:t>
      </w:r>
      <w:r>
        <w:rPr>
          <w:rFonts w:hint="eastAsia"/>
        </w:rPr>
        <w:t>过程</w:t>
      </w:r>
      <w:r>
        <w:t>：采用</w:t>
      </w:r>
      <w:r>
        <w:rPr>
          <w:rFonts w:hint="eastAsia"/>
        </w:rPr>
        <w:t>直接</w:t>
      </w:r>
      <w:r>
        <w:t>比较法测量</w:t>
      </w:r>
      <w:r>
        <w:rPr>
          <w:rFonts w:hint="eastAsia"/>
        </w:rPr>
        <w:t>。测量标准输出一定</w:t>
      </w:r>
      <w:r>
        <w:t>电压</w:t>
      </w:r>
      <w:r>
        <w:rPr>
          <w:rFonts w:hint="eastAsia"/>
          <w:lang w:eastAsia="zh-CN"/>
        </w:rPr>
        <w:t>、</w:t>
      </w:r>
      <w:r>
        <w:t>电流</w:t>
      </w:r>
      <w:r>
        <w:rPr>
          <w:rFonts w:hint="eastAsia"/>
          <w:lang w:eastAsia="zh-CN"/>
        </w:rPr>
        <w:t>、</w:t>
      </w:r>
      <w:r>
        <w:rPr>
          <w:rFonts w:hint="eastAsia"/>
        </w:rPr>
        <w:t>功率</w:t>
      </w:r>
      <w:r>
        <w:rPr>
          <w:rFonts w:hint="eastAsia"/>
          <w:lang w:eastAsia="zh-CN"/>
        </w:rPr>
        <w:t>、相位、频率</w:t>
      </w:r>
      <w:r>
        <w:rPr>
          <w:rFonts w:hint="eastAsia"/>
        </w:rPr>
        <w:t>给</w:t>
      </w:r>
      <w:r>
        <w:rPr>
          <w:bCs/>
          <w:color w:val="000000"/>
          <w:szCs w:val="21"/>
        </w:rPr>
        <w:t>被检电能表</w:t>
      </w:r>
      <w:r>
        <w:rPr>
          <w:rFonts w:hint="eastAsia"/>
        </w:rPr>
        <w:t>，由测量标准直接给出被检电能表在该</w:t>
      </w:r>
      <w:r>
        <w:t>电压</w:t>
      </w:r>
      <w:r>
        <w:rPr>
          <w:rFonts w:hint="eastAsia"/>
          <w:lang w:eastAsia="zh-CN"/>
        </w:rPr>
        <w:t>、</w:t>
      </w:r>
      <w:r>
        <w:t>电流</w:t>
      </w:r>
      <w:r>
        <w:rPr>
          <w:rFonts w:hint="eastAsia"/>
          <w:lang w:eastAsia="zh-CN"/>
        </w:rPr>
        <w:t>、</w:t>
      </w:r>
      <w:r>
        <w:rPr>
          <w:rFonts w:hint="eastAsia"/>
        </w:rPr>
        <w:t>功率</w:t>
      </w:r>
      <w:r>
        <w:rPr>
          <w:rFonts w:hint="eastAsia"/>
          <w:lang w:eastAsia="zh-CN"/>
        </w:rPr>
        <w:t>、相位、频率</w:t>
      </w:r>
      <w:r>
        <w:rPr>
          <w:rFonts w:hint="eastAsia"/>
        </w:rPr>
        <w:t>下的误差。</w:t>
      </w:r>
    </w:p>
    <w:p w14:paraId="2EC48BDC">
      <w:pPr>
        <w:spacing w:before="156" w:beforeLines="50"/>
        <w:rPr>
          <w:b/>
          <w:bCs/>
          <w:sz w:val="24"/>
        </w:rPr>
      </w:pPr>
      <w:r>
        <w:rPr>
          <w:rFonts w:hint="eastAsia"/>
          <w:b/>
          <w:bCs/>
          <w:sz w:val="24"/>
        </w:rPr>
        <w:t>（二）数学模型</w:t>
      </w:r>
    </w:p>
    <w:p w14:paraId="37B5E996">
      <w:pPr>
        <w:spacing w:before="156" w:beforeLines="50"/>
        <w:jc w:val="center"/>
        <w:rPr>
          <w:bCs/>
        </w:rPr>
      </w:pPr>
      <w:r>
        <w:rPr>
          <w:position w:val="-12"/>
        </w:rPr>
        <w:object>
          <v:shape id="_x0000_i1025" o:spt="75" type="#_x0000_t75" style="height:17.85pt;width:73.1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p>
    <w:p w14:paraId="58CEDEF5">
      <w:pPr>
        <w:spacing w:before="156" w:beforeLines="50"/>
        <w:ind w:firstLine="420" w:firstLineChars="200"/>
        <w:rPr>
          <w:bCs/>
        </w:rPr>
      </w:pPr>
      <w:r>
        <w:rPr>
          <w:bCs/>
        </w:rPr>
        <w:sym w:font="Symbol" w:char="F067"/>
      </w:r>
      <w:r>
        <w:rPr>
          <w:bCs/>
        </w:rPr>
        <w:t>：</w:t>
      </w:r>
      <w:r>
        <w:rPr>
          <w:rFonts w:hint="eastAsia"/>
          <w:bCs/>
        </w:rPr>
        <w:t xml:space="preserve"> 测量结果，单位为%</w:t>
      </w:r>
      <w:r>
        <w:rPr>
          <w:rFonts w:hint="eastAsia"/>
          <w:bCs/>
          <w:lang w:eastAsia="zh-CN"/>
        </w:rPr>
        <w:t>、</w:t>
      </w:r>
      <w:r>
        <w:rPr>
          <w:rFonts w:hint="eastAsia"/>
          <w:sz w:val="20"/>
          <w:szCs w:val="21"/>
          <w:lang w:val="en-US" w:eastAsia="zh-CN"/>
        </w:rPr>
        <w:t>Hz</w:t>
      </w:r>
      <w:r>
        <w:rPr>
          <w:rFonts w:hint="eastAsia"/>
          <w:bCs/>
          <w:lang w:eastAsia="zh-CN"/>
        </w:rPr>
        <w:t>、</w:t>
      </w:r>
      <w:r>
        <w:rPr>
          <w:rFonts w:ascii="Times New Roman" w:hAnsi="Times New Roman"/>
          <w:szCs w:val="21"/>
        </w:rPr>
        <w:t>°</w:t>
      </w:r>
      <w:r>
        <w:rPr>
          <w:rFonts w:hint="eastAsia"/>
          <w:bCs/>
        </w:rPr>
        <w:t>；</w:t>
      </w:r>
    </w:p>
    <w:p w14:paraId="134C3114">
      <w:pPr>
        <w:spacing w:before="156" w:beforeLines="50"/>
        <w:ind w:firstLine="420" w:firstLineChars="200"/>
        <w:rPr>
          <w:bCs/>
        </w:rPr>
      </w:pPr>
      <w:r>
        <w:rPr>
          <w:bCs/>
        </w:rPr>
        <w:sym w:font="Symbol" w:char="F067"/>
      </w:r>
      <w:r>
        <w:rPr>
          <w:bCs/>
          <w:vertAlign w:val="subscript"/>
        </w:rPr>
        <w:t>1</w:t>
      </w:r>
      <w:r>
        <w:rPr>
          <w:bCs/>
        </w:rPr>
        <w:t>：</w:t>
      </w:r>
      <w:r>
        <w:rPr>
          <w:rFonts w:hint="eastAsia"/>
          <w:bCs/>
        </w:rPr>
        <w:t>测量标准上测得的被检标准电能表的</w:t>
      </w:r>
      <w:r>
        <w:rPr>
          <w:rFonts w:hint="eastAsia"/>
          <w:bCs/>
          <w:lang w:eastAsia="zh-CN"/>
        </w:rPr>
        <w:t>示值参数</w:t>
      </w:r>
      <w:r>
        <w:rPr>
          <w:rFonts w:hint="eastAsia"/>
          <w:bCs/>
        </w:rPr>
        <w:t>误差，单位为%</w:t>
      </w:r>
      <w:r>
        <w:rPr>
          <w:rFonts w:hint="eastAsia"/>
          <w:bCs/>
          <w:lang w:eastAsia="zh-CN"/>
        </w:rPr>
        <w:t>、</w:t>
      </w:r>
      <w:r>
        <w:rPr>
          <w:rFonts w:hint="eastAsia"/>
          <w:sz w:val="20"/>
          <w:szCs w:val="21"/>
          <w:lang w:val="en-US" w:eastAsia="zh-CN"/>
        </w:rPr>
        <w:t>Hz</w:t>
      </w:r>
      <w:r>
        <w:rPr>
          <w:rFonts w:hint="eastAsia"/>
          <w:bCs/>
          <w:lang w:eastAsia="zh-CN"/>
        </w:rPr>
        <w:t>、</w:t>
      </w:r>
      <w:r>
        <w:rPr>
          <w:rFonts w:ascii="Times New Roman" w:hAnsi="Times New Roman"/>
          <w:szCs w:val="21"/>
        </w:rPr>
        <w:t>°</w:t>
      </w:r>
      <w:r>
        <w:rPr>
          <w:rFonts w:hint="eastAsia"/>
          <w:bCs/>
        </w:rPr>
        <w:t>；</w:t>
      </w:r>
    </w:p>
    <w:p w14:paraId="6D037819">
      <w:pPr>
        <w:spacing w:before="156" w:beforeLines="50"/>
        <w:ind w:firstLine="420" w:firstLineChars="200"/>
        <w:rPr>
          <w:bCs/>
        </w:rPr>
      </w:pPr>
      <w:r>
        <w:rPr>
          <w:bCs/>
        </w:rPr>
        <w:sym w:font="Symbol" w:char="F067"/>
      </w:r>
      <w:r>
        <w:rPr>
          <w:bCs/>
          <w:vertAlign w:val="subscript"/>
        </w:rPr>
        <w:t>2</w:t>
      </w:r>
      <w:r>
        <w:rPr>
          <w:bCs/>
        </w:rPr>
        <w:t>：</w:t>
      </w:r>
      <w:r>
        <w:rPr>
          <w:rFonts w:hint="eastAsia"/>
          <w:bCs/>
        </w:rPr>
        <w:t>测量标准相对于电能基准参考量值的</w:t>
      </w:r>
      <w:r>
        <w:rPr>
          <w:rFonts w:hint="eastAsia"/>
          <w:bCs/>
          <w:lang w:eastAsia="zh-CN"/>
        </w:rPr>
        <w:t>示值参数</w:t>
      </w:r>
      <w:r>
        <w:rPr>
          <w:rFonts w:hint="eastAsia"/>
          <w:bCs/>
        </w:rPr>
        <w:t>误差，单位为%</w:t>
      </w:r>
      <w:r>
        <w:rPr>
          <w:rFonts w:hint="eastAsia"/>
          <w:bCs/>
          <w:lang w:eastAsia="zh-CN"/>
        </w:rPr>
        <w:t>、</w:t>
      </w:r>
      <w:r>
        <w:rPr>
          <w:rFonts w:hint="eastAsia"/>
          <w:sz w:val="20"/>
          <w:szCs w:val="21"/>
          <w:lang w:val="en-US" w:eastAsia="zh-CN"/>
        </w:rPr>
        <w:t>Hz</w:t>
      </w:r>
      <w:r>
        <w:rPr>
          <w:rFonts w:hint="eastAsia"/>
          <w:bCs/>
          <w:lang w:eastAsia="zh-CN"/>
        </w:rPr>
        <w:t>、</w:t>
      </w:r>
      <w:r>
        <w:rPr>
          <w:rFonts w:ascii="Times New Roman" w:hAnsi="Times New Roman"/>
          <w:szCs w:val="21"/>
        </w:rPr>
        <w:t>°</w:t>
      </w:r>
      <w:r>
        <w:rPr>
          <w:rFonts w:hint="eastAsia"/>
          <w:bCs/>
        </w:rPr>
        <w:t>；</w:t>
      </w:r>
    </w:p>
    <w:p w14:paraId="39233AE3">
      <w:pPr>
        <w:spacing w:before="156" w:beforeLines="50"/>
        <w:ind w:firstLine="420" w:firstLineChars="200"/>
        <w:rPr>
          <w:bCs/>
        </w:rPr>
      </w:pPr>
      <w:r>
        <w:rPr>
          <w:bCs/>
        </w:rPr>
        <w:sym w:font="Symbol" w:char="F067"/>
      </w:r>
      <w:r>
        <w:rPr>
          <w:bCs/>
          <w:vertAlign w:val="subscript"/>
        </w:rPr>
        <w:t>3</w:t>
      </w:r>
      <w:r>
        <w:rPr>
          <w:bCs/>
        </w:rPr>
        <w:t>：</w:t>
      </w:r>
      <w:r>
        <w:rPr>
          <w:rFonts w:hint="eastAsia"/>
          <w:bCs/>
        </w:rPr>
        <w:t>被检标准电能表</w:t>
      </w:r>
      <w:r>
        <w:rPr>
          <w:rFonts w:hint="eastAsia"/>
          <w:bCs/>
          <w:lang w:eastAsia="zh-CN"/>
        </w:rPr>
        <w:t>示值参数</w:t>
      </w:r>
      <w:r>
        <w:rPr>
          <w:rFonts w:hint="eastAsia"/>
          <w:bCs/>
        </w:rPr>
        <w:t>误差的修约值，单位为%</w:t>
      </w:r>
      <w:r>
        <w:rPr>
          <w:rFonts w:hint="eastAsia"/>
          <w:bCs/>
          <w:lang w:eastAsia="zh-CN"/>
        </w:rPr>
        <w:t>、</w:t>
      </w:r>
      <w:r>
        <w:rPr>
          <w:rFonts w:hint="eastAsia"/>
          <w:sz w:val="20"/>
          <w:szCs w:val="21"/>
          <w:lang w:val="en-US" w:eastAsia="zh-CN"/>
        </w:rPr>
        <w:t>Hz</w:t>
      </w:r>
      <w:r>
        <w:rPr>
          <w:rFonts w:hint="eastAsia"/>
          <w:bCs/>
          <w:lang w:eastAsia="zh-CN"/>
        </w:rPr>
        <w:t>、</w:t>
      </w:r>
      <w:r>
        <w:rPr>
          <w:rFonts w:ascii="Times New Roman" w:hAnsi="Times New Roman"/>
          <w:szCs w:val="21"/>
        </w:rPr>
        <w:t>°</w:t>
      </w:r>
      <w:r>
        <w:rPr>
          <w:rFonts w:hint="eastAsia"/>
          <w:bCs/>
        </w:rPr>
        <w:t>；</w:t>
      </w:r>
    </w:p>
    <w:p w14:paraId="1796EE35">
      <w:pPr>
        <w:spacing w:before="156" w:beforeLines="50"/>
        <w:ind w:firstLine="420" w:firstLineChars="200"/>
        <w:rPr>
          <w:bCs/>
        </w:rPr>
      </w:pPr>
      <w:r>
        <w:rPr>
          <w:bCs/>
        </w:rPr>
        <w:t>灵敏系数：C=</w:t>
      </w:r>
      <w:r>
        <w:rPr>
          <w:bCs/>
        </w:rPr>
        <w:sym w:font="Symbol" w:char="F0B6"/>
      </w:r>
      <w:r>
        <w:rPr>
          <w:bCs/>
        </w:rPr>
        <w:sym w:font="Symbol" w:char="F067"/>
      </w:r>
      <w:r>
        <w:rPr>
          <w:bCs/>
        </w:rPr>
        <w:t>/</w:t>
      </w:r>
      <w:r>
        <w:rPr>
          <w:bCs/>
        </w:rPr>
        <w:sym w:font="Symbol" w:char="F0B6"/>
      </w:r>
      <w:r>
        <w:rPr>
          <w:bCs/>
        </w:rPr>
        <w:sym w:font="Symbol" w:char="F067"/>
      </w:r>
      <w:r>
        <w:rPr>
          <w:bCs/>
          <w:vertAlign w:val="subscript"/>
        </w:rPr>
        <w:t>1</w:t>
      </w:r>
      <w:r>
        <w:rPr>
          <w:bCs/>
        </w:rPr>
        <w:t>=1，C=</w:t>
      </w:r>
      <w:r>
        <w:rPr>
          <w:bCs/>
        </w:rPr>
        <w:sym w:font="Symbol" w:char="F0B6"/>
      </w:r>
      <w:r>
        <w:rPr>
          <w:bCs/>
        </w:rPr>
        <w:sym w:font="Symbol" w:char="F067"/>
      </w:r>
      <w:r>
        <w:rPr>
          <w:bCs/>
        </w:rPr>
        <w:t>/</w:t>
      </w:r>
      <w:r>
        <w:rPr>
          <w:bCs/>
        </w:rPr>
        <w:sym w:font="Symbol" w:char="F0B6"/>
      </w:r>
      <w:r>
        <w:rPr>
          <w:bCs/>
        </w:rPr>
        <w:sym w:font="Symbol" w:char="F067"/>
      </w:r>
      <w:r>
        <w:rPr>
          <w:bCs/>
          <w:vertAlign w:val="subscript"/>
        </w:rPr>
        <w:t>2</w:t>
      </w:r>
      <w:r>
        <w:rPr>
          <w:bCs/>
        </w:rPr>
        <w:t>=1，C=</w:t>
      </w:r>
      <w:r>
        <w:rPr>
          <w:bCs/>
        </w:rPr>
        <w:sym w:font="Symbol" w:char="F0B6"/>
      </w:r>
      <w:r>
        <w:rPr>
          <w:bCs/>
        </w:rPr>
        <w:sym w:font="Symbol" w:char="F067"/>
      </w:r>
      <w:r>
        <w:rPr>
          <w:bCs/>
        </w:rPr>
        <w:t>/</w:t>
      </w:r>
      <w:r>
        <w:rPr>
          <w:bCs/>
        </w:rPr>
        <w:sym w:font="Symbol" w:char="F0B6"/>
      </w:r>
      <w:r>
        <w:rPr>
          <w:bCs/>
        </w:rPr>
        <w:sym w:font="Symbol" w:char="F067"/>
      </w:r>
      <w:r>
        <w:rPr>
          <w:bCs/>
          <w:vertAlign w:val="subscript"/>
        </w:rPr>
        <w:t>3</w:t>
      </w:r>
      <w:r>
        <w:rPr>
          <w:bCs/>
        </w:rPr>
        <w:t>=1。</w:t>
      </w:r>
    </w:p>
    <w:p w14:paraId="143D35A2">
      <w:pPr>
        <w:spacing w:before="156" w:beforeLines="50"/>
        <w:rPr>
          <w:b/>
          <w:bCs/>
          <w:sz w:val="24"/>
        </w:rPr>
      </w:pPr>
      <w:r>
        <w:rPr>
          <w:rFonts w:hint="eastAsia"/>
          <w:b/>
          <w:bCs/>
          <w:sz w:val="24"/>
        </w:rPr>
        <w:t>（三）标准不确定度的评定</w:t>
      </w:r>
    </w:p>
    <w:p w14:paraId="0B3F3B2E">
      <w:pPr>
        <w:spacing w:line="360" w:lineRule="auto"/>
        <w:ind w:firstLine="420" w:firstLineChars="200"/>
        <w:rPr>
          <w:bCs/>
        </w:rPr>
      </w:pPr>
      <w:r>
        <w:rPr>
          <w:rFonts w:hint="eastAsia"/>
          <w:bCs/>
        </w:rPr>
        <w:t>用测量标准测量被测对象，得到各测量值的误差，主要由测量重复性、测量标准的误差和测量结果的修约间距引入。</w:t>
      </w:r>
    </w:p>
    <w:p w14:paraId="13CE1773">
      <w:pPr>
        <w:spacing w:line="360" w:lineRule="auto"/>
        <w:ind w:firstLine="420" w:firstLineChars="200"/>
      </w:pPr>
      <w:r>
        <w:rPr>
          <w:bCs/>
        </w:rPr>
        <w:sym w:font="Symbol" w:char="F067"/>
      </w:r>
      <w:r>
        <w:rPr>
          <w:bCs/>
          <w:vertAlign w:val="subscript"/>
        </w:rPr>
        <w:t>1</w:t>
      </w:r>
      <w:r>
        <w:rPr>
          <w:rFonts w:hint="eastAsia"/>
          <w:bCs/>
        </w:rPr>
        <w:t>的不确定度主要来源为测量重复性引入的标准不确定度分量</w:t>
      </w:r>
      <w:r>
        <w:rPr>
          <w:bCs/>
          <w:position w:val="-12"/>
        </w:rPr>
        <w:object>
          <v:shape id="_x0000_i1026"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bCs/>
        </w:rPr>
        <w:t>——A类评定</w:t>
      </w:r>
    </w:p>
    <w:p w14:paraId="6466520B">
      <w:pPr>
        <w:spacing w:line="360" w:lineRule="auto"/>
        <w:ind w:firstLine="420" w:firstLineChars="200"/>
        <w:rPr>
          <w:bCs/>
        </w:rPr>
      </w:pPr>
      <w:r>
        <w:rPr>
          <w:bCs/>
        </w:rPr>
        <w:sym w:font="Symbol" w:char="F067"/>
      </w:r>
      <w:r>
        <w:rPr>
          <w:bCs/>
          <w:vertAlign w:val="subscript"/>
        </w:rPr>
        <w:t>2</w:t>
      </w:r>
      <w:r>
        <w:rPr>
          <w:rFonts w:hint="eastAsia"/>
        </w:rPr>
        <w:t>的不确定度</w:t>
      </w:r>
      <w:r>
        <w:rPr>
          <w:rFonts w:hint="eastAsia"/>
          <w:bCs/>
        </w:rPr>
        <w:t>主要</w:t>
      </w:r>
      <w:r>
        <w:rPr>
          <w:rFonts w:hint="eastAsia"/>
        </w:rPr>
        <w:t>来源为测量标准的误差引入的标准不确定度分量</w:t>
      </w:r>
      <w:r>
        <w:rPr>
          <w:bCs/>
          <w:position w:val="-12"/>
        </w:rPr>
        <w:object>
          <v:shape id="_x0000_i1027" o:spt="75" type="#_x0000_t75" style="height:19.6pt;width:13.2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bCs/>
        </w:rPr>
        <w:t>——B类评定</w:t>
      </w:r>
    </w:p>
    <w:p w14:paraId="446663D6">
      <w:pPr>
        <w:spacing w:line="360" w:lineRule="auto"/>
        <w:ind w:firstLine="420" w:firstLineChars="200"/>
        <w:rPr>
          <w:bCs/>
        </w:rPr>
      </w:pPr>
      <w:r>
        <w:rPr>
          <w:bCs/>
        </w:rPr>
        <w:sym w:font="Symbol" w:char="F067"/>
      </w:r>
      <w:r>
        <w:rPr>
          <w:bCs/>
          <w:vertAlign w:val="subscript"/>
        </w:rPr>
        <w:t>3</w:t>
      </w:r>
      <w:r>
        <w:rPr>
          <w:rFonts w:hint="eastAsia"/>
          <w:bCs/>
          <w:szCs w:val="21"/>
        </w:rPr>
        <w:t>的不确定度</w:t>
      </w:r>
      <w:r>
        <w:rPr>
          <w:rFonts w:hint="eastAsia"/>
          <w:bCs/>
        </w:rPr>
        <w:t>主要</w:t>
      </w:r>
      <w:r>
        <w:rPr>
          <w:rFonts w:hint="eastAsia"/>
          <w:bCs/>
          <w:szCs w:val="21"/>
        </w:rPr>
        <w:t>来源为测量结果的修约间距引入的标准不确定度分量</w:t>
      </w:r>
      <w:r>
        <w:rPr>
          <w:bCs/>
          <w:position w:val="-12"/>
        </w:rPr>
        <w:object>
          <v:shape id="_x0000_i1028" o:spt="75" type="#_x0000_t75" style="height:19.6pt;width:13.2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bCs/>
        </w:rPr>
        <w:t>——B类评定</w:t>
      </w:r>
    </w:p>
    <w:p w14:paraId="71AE9323">
      <w:pPr>
        <w:spacing w:before="156" w:beforeLines="50"/>
        <w:ind w:firstLine="420" w:firstLineChars="200"/>
      </w:pPr>
      <w:r>
        <w:t>1．</w:t>
      </w:r>
      <w:r>
        <w:rPr>
          <w:rFonts w:hint="eastAsia"/>
          <w:bCs/>
        </w:rPr>
        <w:t>测量重复性引入的标准不确定度分量</w:t>
      </w:r>
      <w:r>
        <w:rPr>
          <w:bCs/>
          <w:position w:val="-12"/>
        </w:rPr>
        <w:object>
          <v:shape id="_x0000_i1029"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20">
            <o:LockedField>false</o:LockedField>
          </o:OLEObject>
        </w:object>
      </w:r>
    </w:p>
    <w:p w14:paraId="2500FFF0">
      <w:pPr>
        <w:spacing w:line="360" w:lineRule="auto"/>
        <w:ind w:firstLine="420" w:firstLineChars="200"/>
        <w:rPr>
          <w:szCs w:val="28"/>
        </w:rPr>
      </w:pPr>
      <w:r>
        <w:rPr>
          <w:rFonts w:hint="eastAsia"/>
          <w:bCs/>
        </w:rPr>
        <w:t>在重复性条件</w:t>
      </w:r>
      <w:r>
        <w:rPr>
          <w:rFonts w:hint="eastAsia"/>
          <w:bCs/>
          <w:szCs w:val="21"/>
        </w:rPr>
        <w:t>下，用测量标准对</w:t>
      </w:r>
      <w:r>
        <w:rPr>
          <w:rFonts w:hint="eastAsia"/>
          <w:bCs/>
        </w:rPr>
        <w:t>被测对象</w:t>
      </w:r>
      <w:r>
        <w:rPr>
          <w:rFonts w:hint="eastAsia"/>
          <w:bCs/>
          <w:szCs w:val="21"/>
        </w:rPr>
        <w:t>在三相四线平衡负载，正向有功，</w:t>
      </w:r>
      <w:r>
        <w:rPr>
          <w:bCs/>
          <w:szCs w:val="21"/>
        </w:rPr>
        <w:t>电压220V、电流5A、</w:t>
      </w:r>
      <w:r>
        <w:rPr>
          <w:rFonts w:hint="eastAsia"/>
          <w:bCs/>
          <w:szCs w:val="21"/>
          <w:lang w:val="en-US" w:eastAsia="zh-CN"/>
        </w:rPr>
        <w:t>50Hz、</w:t>
      </w:r>
      <w:r>
        <w:rPr>
          <w:rFonts w:hint="eastAsia"/>
          <w:bCs/>
          <w:szCs w:val="21"/>
        </w:rPr>
        <w:t>功率因数</w:t>
      </w:r>
      <w:r>
        <w:rPr>
          <w:bCs/>
          <w:szCs w:val="21"/>
        </w:rPr>
        <w:t>为</w:t>
      </w:r>
      <w:r>
        <w:rPr>
          <w:rFonts w:hint="eastAsia"/>
          <w:bCs/>
          <w:szCs w:val="21"/>
        </w:rPr>
        <w:t>1的情况下进行10次独立重复测量，以其独立观测列作为测量结果。测量结果见表</w:t>
      </w:r>
      <w:r>
        <w:rPr>
          <w:bCs/>
          <w:szCs w:val="21"/>
        </w:rPr>
        <w:t>1</w:t>
      </w:r>
      <w:r>
        <w:rPr>
          <w:rFonts w:hint="eastAsia"/>
          <w:bCs/>
          <w:szCs w:val="21"/>
        </w:rPr>
        <w:t>，其中，</w:t>
      </w:r>
      <w:r>
        <w:rPr>
          <w:i/>
        </w:rPr>
        <w:t>S</w:t>
      </w:r>
      <w:r>
        <w:t>=</w:t>
      </w:r>
      <w:r>
        <w:rPr>
          <w:position w:val="-30"/>
          <w:sz w:val="18"/>
          <w:szCs w:val="18"/>
        </w:rPr>
        <w:object>
          <v:shape id="_x0000_i1030" o:spt="75" type="#_x0000_t75" style="height:29.95pt;width:66.2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r>
        <w:rPr>
          <w:sz w:val="18"/>
          <w:szCs w:val="18"/>
        </w:rPr>
        <w:t>%</w:t>
      </w:r>
      <w:r>
        <w:rPr>
          <w:szCs w:val="28"/>
        </w:rPr>
        <w:t>。</w:t>
      </w:r>
    </w:p>
    <w:p w14:paraId="3267595A">
      <w:pPr>
        <w:snapToGrid w:val="0"/>
        <w:spacing w:before="156" w:beforeLines="50"/>
        <w:jc w:val="center"/>
        <w:rPr>
          <w:szCs w:val="21"/>
        </w:rPr>
      </w:pPr>
      <w:r>
        <w:rPr>
          <w:szCs w:val="21"/>
        </w:rPr>
        <w:t>表</w:t>
      </w:r>
      <w:r>
        <w:rPr>
          <w:rFonts w:hint="eastAsia"/>
          <w:szCs w:val="21"/>
        </w:rPr>
        <w:t>1</w:t>
      </w:r>
    </w:p>
    <w:tbl>
      <w:tblPr>
        <w:tblStyle w:val="7"/>
        <w:tblW w:w="5000" w:type="pct"/>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795"/>
        <w:gridCol w:w="795"/>
        <w:gridCol w:w="794"/>
        <w:gridCol w:w="794"/>
        <w:gridCol w:w="794"/>
        <w:gridCol w:w="794"/>
        <w:gridCol w:w="794"/>
        <w:gridCol w:w="794"/>
        <w:gridCol w:w="794"/>
        <w:gridCol w:w="794"/>
        <w:gridCol w:w="796"/>
      </w:tblGrid>
      <w:tr w14:paraId="5B2D5A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tblHeader/>
          <w:jc w:val="right"/>
        </w:trPr>
        <w:tc>
          <w:tcPr>
            <w:tcW w:w="566" w:type="pct"/>
            <w:vMerge w:val="restart"/>
            <w:shd w:val="clear" w:color="auto" w:fill="auto"/>
            <w:vAlign w:val="center"/>
          </w:tcPr>
          <w:p w14:paraId="41DBB041">
            <w:pPr>
              <w:spacing w:line="300" w:lineRule="exact"/>
              <w:ind w:left="-51" w:right="-51"/>
              <w:jc w:val="center"/>
              <w:rPr>
                <w:color w:val="000000"/>
                <w:sz w:val="20"/>
                <w:szCs w:val="21"/>
              </w:rPr>
            </w:pPr>
            <w:r>
              <w:rPr>
                <w:rFonts w:hint="eastAsia"/>
                <w:color w:val="000000"/>
                <w:sz w:val="20"/>
                <w:szCs w:val="21"/>
              </w:rPr>
              <w:t>参数</w:t>
            </w:r>
          </w:p>
        </w:tc>
        <w:tc>
          <w:tcPr>
            <w:tcW w:w="4029" w:type="pct"/>
            <w:gridSpan w:val="10"/>
            <w:shd w:val="clear" w:color="auto" w:fill="auto"/>
            <w:vAlign w:val="center"/>
          </w:tcPr>
          <w:p w14:paraId="2405904C">
            <w:pPr>
              <w:spacing w:line="300" w:lineRule="exact"/>
              <w:jc w:val="center"/>
              <w:rPr>
                <w:sz w:val="20"/>
                <w:szCs w:val="21"/>
              </w:rPr>
            </w:pPr>
            <w:r>
              <w:rPr>
                <w:snapToGrid w:val="0"/>
                <w:kern w:val="0"/>
                <w:sz w:val="20"/>
                <w:szCs w:val="21"/>
              </w:rPr>
              <w:t>测量结果</w:t>
            </w:r>
          </w:p>
        </w:tc>
        <w:tc>
          <w:tcPr>
            <w:tcW w:w="403" w:type="pct"/>
            <w:vMerge w:val="restart"/>
            <w:shd w:val="clear" w:color="auto" w:fill="auto"/>
            <w:vAlign w:val="center"/>
          </w:tcPr>
          <w:p w14:paraId="047D6F8E">
            <w:pPr>
              <w:spacing w:line="300" w:lineRule="exact"/>
              <w:ind w:left="-51" w:right="-51"/>
              <w:jc w:val="center"/>
              <w:rPr>
                <w:color w:val="000000"/>
                <w:sz w:val="20"/>
                <w:szCs w:val="21"/>
              </w:rPr>
            </w:pPr>
            <w:r>
              <w:rPr>
                <w:rFonts w:hint="eastAsia"/>
                <w:snapToGrid w:val="0"/>
                <w:kern w:val="0"/>
                <w:sz w:val="20"/>
                <w:szCs w:val="21"/>
              </w:rPr>
              <w:t>试验</w:t>
            </w:r>
            <w:r>
              <w:rPr>
                <w:snapToGrid w:val="0"/>
                <w:kern w:val="0"/>
                <w:sz w:val="20"/>
                <w:szCs w:val="21"/>
              </w:rPr>
              <w:t>标准差</w:t>
            </w:r>
            <w:r>
              <w:rPr>
                <w:rFonts w:hint="eastAsia"/>
                <w:i/>
                <w:iCs/>
                <w:snapToGrid w:val="0"/>
                <w:kern w:val="0"/>
                <w:sz w:val="20"/>
                <w:szCs w:val="21"/>
              </w:rPr>
              <w:t>S</w:t>
            </w:r>
          </w:p>
        </w:tc>
      </w:tr>
      <w:tr w14:paraId="2619E2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blHeader/>
          <w:jc w:val="right"/>
        </w:trPr>
        <w:tc>
          <w:tcPr>
            <w:tcW w:w="566" w:type="pct"/>
            <w:vMerge w:val="continue"/>
            <w:shd w:val="clear" w:color="auto" w:fill="auto"/>
            <w:vAlign w:val="center"/>
          </w:tcPr>
          <w:p w14:paraId="75E478CA">
            <w:pPr>
              <w:spacing w:line="300" w:lineRule="exact"/>
              <w:ind w:left="-51" w:right="-51"/>
              <w:jc w:val="center"/>
              <w:rPr>
                <w:color w:val="000000"/>
                <w:sz w:val="20"/>
                <w:szCs w:val="21"/>
              </w:rPr>
            </w:pPr>
          </w:p>
        </w:tc>
        <w:tc>
          <w:tcPr>
            <w:tcW w:w="403" w:type="pct"/>
            <w:shd w:val="clear" w:color="auto" w:fill="auto"/>
            <w:vAlign w:val="center"/>
          </w:tcPr>
          <w:p w14:paraId="58FAD5F1">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1</w:t>
            </w:r>
          </w:p>
        </w:tc>
        <w:tc>
          <w:tcPr>
            <w:tcW w:w="403" w:type="pct"/>
            <w:shd w:val="clear" w:color="auto" w:fill="auto"/>
            <w:vAlign w:val="center"/>
          </w:tcPr>
          <w:p w14:paraId="29EE626F">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2</w:t>
            </w:r>
          </w:p>
        </w:tc>
        <w:tc>
          <w:tcPr>
            <w:tcW w:w="402" w:type="pct"/>
            <w:shd w:val="clear" w:color="auto" w:fill="auto"/>
            <w:vAlign w:val="center"/>
          </w:tcPr>
          <w:p w14:paraId="3942F4AC">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3</w:t>
            </w:r>
          </w:p>
        </w:tc>
        <w:tc>
          <w:tcPr>
            <w:tcW w:w="402" w:type="pct"/>
            <w:shd w:val="clear" w:color="auto" w:fill="auto"/>
            <w:vAlign w:val="center"/>
          </w:tcPr>
          <w:p w14:paraId="58B134BD">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4</w:t>
            </w:r>
          </w:p>
        </w:tc>
        <w:tc>
          <w:tcPr>
            <w:tcW w:w="402" w:type="pct"/>
            <w:shd w:val="clear" w:color="auto" w:fill="auto"/>
            <w:vAlign w:val="center"/>
          </w:tcPr>
          <w:p w14:paraId="214110BA">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5</w:t>
            </w:r>
          </w:p>
        </w:tc>
        <w:tc>
          <w:tcPr>
            <w:tcW w:w="402" w:type="pct"/>
            <w:shd w:val="clear" w:color="auto" w:fill="auto"/>
            <w:vAlign w:val="center"/>
          </w:tcPr>
          <w:p w14:paraId="582B6FC8">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6</w:t>
            </w:r>
          </w:p>
        </w:tc>
        <w:tc>
          <w:tcPr>
            <w:tcW w:w="402" w:type="pct"/>
            <w:shd w:val="clear" w:color="auto" w:fill="auto"/>
            <w:vAlign w:val="center"/>
          </w:tcPr>
          <w:p w14:paraId="156C3F0C">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7</w:t>
            </w:r>
          </w:p>
        </w:tc>
        <w:tc>
          <w:tcPr>
            <w:tcW w:w="402" w:type="pct"/>
            <w:shd w:val="clear" w:color="auto" w:fill="auto"/>
            <w:vAlign w:val="center"/>
          </w:tcPr>
          <w:p w14:paraId="74BB7EB5">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8</w:t>
            </w:r>
          </w:p>
        </w:tc>
        <w:tc>
          <w:tcPr>
            <w:tcW w:w="402" w:type="pct"/>
            <w:shd w:val="clear" w:color="auto" w:fill="auto"/>
            <w:vAlign w:val="center"/>
          </w:tcPr>
          <w:p w14:paraId="57F8CD4E">
            <w:pPr>
              <w:spacing w:line="300" w:lineRule="exact"/>
              <w:jc w:val="center"/>
              <w:rPr>
                <w:rFonts w:hint="eastAsia" w:eastAsia="宋体"/>
                <w:snapToGrid w:val="0"/>
                <w:kern w:val="0"/>
                <w:sz w:val="20"/>
                <w:szCs w:val="21"/>
                <w:lang w:val="en-US" w:eastAsia="zh-CN"/>
              </w:rPr>
            </w:pPr>
            <w:r>
              <w:rPr>
                <w:rFonts w:hint="eastAsia"/>
                <w:snapToGrid w:val="0"/>
                <w:kern w:val="0"/>
                <w:sz w:val="20"/>
                <w:szCs w:val="21"/>
                <w:lang w:val="en-US" w:eastAsia="zh-CN"/>
              </w:rPr>
              <w:t>9</w:t>
            </w:r>
          </w:p>
        </w:tc>
        <w:tc>
          <w:tcPr>
            <w:tcW w:w="402" w:type="pct"/>
            <w:shd w:val="clear" w:color="auto" w:fill="auto"/>
            <w:vAlign w:val="center"/>
          </w:tcPr>
          <w:p w14:paraId="7EE9045F">
            <w:pPr>
              <w:spacing w:line="300" w:lineRule="exact"/>
              <w:jc w:val="center"/>
              <w:rPr>
                <w:rFonts w:hint="default" w:eastAsia="宋体"/>
                <w:snapToGrid w:val="0"/>
                <w:kern w:val="0"/>
                <w:sz w:val="20"/>
                <w:szCs w:val="21"/>
                <w:lang w:val="en-US" w:eastAsia="zh-CN"/>
              </w:rPr>
            </w:pPr>
            <w:r>
              <w:rPr>
                <w:rFonts w:hint="eastAsia"/>
                <w:snapToGrid w:val="0"/>
                <w:kern w:val="0"/>
                <w:sz w:val="20"/>
                <w:szCs w:val="21"/>
                <w:lang w:val="en-US" w:eastAsia="zh-CN"/>
              </w:rPr>
              <w:t>10</w:t>
            </w:r>
          </w:p>
        </w:tc>
        <w:tc>
          <w:tcPr>
            <w:tcW w:w="403" w:type="pct"/>
            <w:vMerge w:val="continue"/>
            <w:shd w:val="clear" w:color="auto" w:fill="auto"/>
            <w:vAlign w:val="center"/>
          </w:tcPr>
          <w:p w14:paraId="4C59A4F3">
            <w:pPr>
              <w:spacing w:line="300" w:lineRule="exact"/>
              <w:ind w:left="-51" w:right="-51"/>
              <w:jc w:val="center"/>
              <w:rPr>
                <w:snapToGrid w:val="0"/>
                <w:kern w:val="0"/>
                <w:sz w:val="20"/>
                <w:szCs w:val="21"/>
              </w:rPr>
            </w:pPr>
          </w:p>
        </w:tc>
      </w:tr>
      <w:tr w14:paraId="4F656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566" w:type="pct"/>
            <w:vAlign w:val="center"/>
          </w:tcPr>
          <w:p w14:paraId="4A173677">
            <w:pPr>
              <w:spacing w:line="288" w:lineRule="auto"/>
              <w:jc w:val="center"/>
              <w:rPr>
                <w:sz w:val="20"/>
                <w:szCs w:val="21"/>
              </w:rPr>
            </w:pPr>
            <w:r>
              <w:rPr>
                <w:rFonts w:hint="eastAsia"/>
                <w:sz w:val="20"/>
                <w:szCs w:val="21"/>
              </w:rPr>
              <w:t>电压（</w:t>
            </w:r>
            <w:r>
              <w:rPr>
                <w:rStyle w:val="16"/>
                <w:rFonts w:eastAsia="宋体"/>
                <w:lang w:val="en-US" w:eastAsia="zh-CN" w:bidi="ar"/>
              </w:rPr>
              <w:t>V</w:t>
            </w:r>
            <w:r>
              <w:rPr>
                <w:rFonts w:hint="eastAsia"/>
                <w:sz w:val="20"/>
                <w:szCs w:val="21"/>
              </w:rPr>
              <w:t>）</w:t>
            </w:r>
          </w:p>
        </w:tc>
        <w:tc>
          <w:tcPr>
            <w:tcW w:w="795" w:type="dxa"/>
            <w:shd w:val="clear" w:color="auto" w:fill="auto"/>
            <w:vAlign w:val="center"/>
          </w:tcPr>
          <w:p w14:paraId="77914B1E">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219.973</w:t>
            </w:r>
          </w:p>
        </w:tc>
        <w:tc>
          <w:tcPr>
            <w:tcW w:w="795" w:type="dxa"/>
            <w:shd w:val="clear" w:color="auto" w:fill="auto"/>
            <w:vAlign w:val="center"/>
          </w:tcPr>
          <w:p w14:paraId="1BFBC093">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219.973</w:t>
            </w:r>
          </w:p>
        </w:tc>
        <w:tc>
          <w:tcPr>
            <w:tcW w:w="794" w:type="dxa"/>
            <w:shd w:val="clear" w:color="auto" w:fill="auto"/>
            <w:vAlign w:val="center"/>
          </w:tcPr>
          <w:p w14:paraId="241798DA">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219.975</w:t>
            </w:r>
          </w:p>
        </w:tc>
        <w:tc>
          <w:tcPr>
            <w:tcW w:w="794" w:type="dxa"/>
            <w:shd w:val="clear" w:color="auto" w:fill="auto"/>
            <w:vAlign w:val="center"/>
          </w:tcPr>
          <w:p w14:paraId="384FA7AE">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219.975</w:t>
            </w:r>
          </w:p>
        </w:tc>
        <w:tc>
          <w:tcPr>
            <w:tcW w:w="794" w:type="dxa"/>
            <w:shd w:val="clear" w:color="auto" w:fill="auto"/>
            <w:vAlign w:val="center"/>
          </w:tcPr>
          <w:p w14:paraId="62E098CC">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219.975</w:t>
            </w:r>
          </w:p>
        </w:tc>
        <w:tc>
          <w:tcPr>
            <w:tcW w:w="794" w:type="dxa"/>
            <w:shd w:val="clear" w:color="auto" w:fill="auto"/>
            <w:vAlign w:val="center"/>
          </w:tcPr>
          <w:p w14:paraId="5D52BB1A">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219.974</w:t>
            </w:r>
          </w:p>
        </w:tc>
        <w:tc>
          <w:tcPr>
            <w:tcW w:w="794" w:type="dxa"/>
            <w:shd w:val="clear" w:color="auto" w:fill="auto"/>
            <w:vAlign w:val="center"/>
          </w:tcPr>
          <w:p w14:paraId="49E0AAFD">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219.975</w:t>
            </w:r>
          </w:p>
        </w:tc>
        <w:tc>
          <w:tcPr>
            <w:tcW w:w="794" w:type="dxa"/>
            <w:shd w:val="clear" w:color="auto" w:fill="auto"/>
            <w:vAlign w:val="center"/>
          </w:tcPr>
          <w:p w14:paraId="4B0C7DE2">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219.975</w:t>
            </w:r>
          </w:p>
        </w:tc>
        <w:tc>
          <w:tcPr>
            <w:tcW w:w="794" w:type="dxa"/>
            <w:shd w:val="clear" w:color="auto" w:fill="auto"/>
            <w:vAlign w:val="center"/>
          </w:tcPr>
          <w:p w14:paraId="39461600">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219.974</w:t>
            </w:r>
          </w:p>
        </w:tc>
        <w:tc>
          <w:tcPr>
            <w:tcW w:w="794" w:type="dxa"/>
            <w:shd w:val="clear" w:color="auto" w:fill="auto"/>
            <w:vAlign w:val="center"/>
          </w:tcPr>
          <w:p w14:paraId="50C6E21A">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219.974</w:t>
            </w:r>
          </w:p>
        </w:tc>
        <w:tc>
          <w:tcPr>
            <w:tcW w:w="403" w:type="pct"/>
            <w:shd w:val="clear" w:color="auto" w:fill="auto"/>
            <w:vAlign w:val="bottom"/>
          </w:tcPr>
          <w:p w14:paraId="78DCF30E">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0.000</w:t>
            </w:r>
            <w:r>
              <w:rPr>
                <w:rFonts w:hint="eastAsia" w:cs="Times New Roman"/>
                <w:i w:val="0"/>
                <w:iCs w:val="0"/>
                <w:color w:val="000000"/>
                <w:kern w:val="0"/>
                <w:sz w:val="18"/>
                <w:szCs w:val="18"/>
                <w:u w:val="none"/>
                <w:lang w:val="en-US" w:eastAsia="zh-CN" w:bidi="ar"/>
              </w:rPr>
              <w:t>978</w:t>
            </w:r>
          </w:p>
        </w:tc>
      </w:tr>
      <w:tr w14:paraId="5CB53A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566" w:type="pct"/>
            <w:vAlign w:val="center"/>
          </w:tcPr>
          <w:p w14:paraId="00BB56BB">
            <w:pPr>
              <w:spacing w:line="288" w:lineRule="auto"/>
              <w:jc w:val="center"/>
              <w:rPr>
                <w:sz w:val="20"/>
                <w:szCs w:val="21"/>
              </w:rPr>
            </w:pPr>
            <w:r>
              <w:rPr>
                <w:rFonts w:hint="eastAsia"/>
                <w:sz w:val="20"/>
                <w:szCs w:val="21"/>
              </w:rPr>
              <w:t>电流（</w:t>
            </w:r>
            <w:r>
              <w:rPr>
                <w:rStyle w:val="16"/>
                <w:rFonts w:eastAsia="宋体"/>
                <w:lang w:val="en-US" w:eastAsia="zh-CN" w:bidi="ar"/>
              </w:rPr>
              <w:t>A</w:t>
            </w:r>
            <w:r>
              <w:rPr>
                <w:rFonts w:hint="eastAsia"/>
                <w:sz w:val="20"/>
                <w:szCs w:val="21"/>
              </w:rPr>
              <w:t>）</w:t>
            </w:r>
          </w:p>
        </w:tc>
        <w:tc>
          <w:tcPr>
            <w:tcW w:w="795" w:type="dxa"/>
            <w:shd w:val="clear" w:color="auto" w:fill="auto"/>
            <w:vAlign w:val="center"/>
          </w:tcPr>
          <w:p w14:paraId="2DFB0785">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4.99993</w:t>
            </w:r>
          </w:p>
        </w:tc>
        <w:tc>
          <w:tcPr>
            <w:tcW w:w="795" w:type="dxa"/>
            <w:shd w:val="clear" w:color="auto" w:fill="auto"/>
            <w:vAlign w:val="center"/>
          </w:tcPr>
          <w:p w14:paraId="125C4D04">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5.00016</w:t>
            </w:r>
          </w:p>
        </w:tc>
        <w:tc>
          <w:tcPr>
            <w:tcW w:w="794" w:type="dxa"/>
            <w:shd w:val="clear" w:color="auto" w:fill="auto"/>
            <w:vAlign w:val="center"/>
          </w:tcPr>
          <w:p w14:paraId="7A034D4E">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5.00010</w:t>
            </w:r>
          </w:p>
        </w:tc>
        <w:tc>
          <w:tcPr>
            <w:tcW w:w="794" w:type="dxa"/>
            <w:shd w:val="clear" w:color="auto" w:fill="auto"/>
            <w:vAlign w:val="center"/>
          </w:tcPr>
          <w:p w14:paraId="6BB9B064">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5.00012</w:t>
            </w:r>
          </w:p>
        </w:tc>
        <w:tc>
          <w:tcPr>
            <w:tcW w:w="794" w:type="dxa"/>
            <w:shd w:val="clear" w:color="auto" w:fill="auto"/>
            <w:vAlign w:val="center"/>
          </w:tcPr>
          <w:p w14:paraId="4DB0E915">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5.00010</w:t>
            </w:r>
          </w:p>
        </w:tc>
        <w:tc>
          <w:tcPr>
            <w:tcW w:w="794" w:type="dxa"/>
            <w:shd w:val="clear" w:color="auto" w:fill="auto"/>
            <w:vAlign w:val="center"/>
          </w:tcPr>
          <w:p w14:paraId="16EAB51B">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auto" w:fill="auto"/>
            <w:vAlign w:val="center"/>
          </w:tcPr>
          <w:p w14:paraId="4532848E">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5.00012</w:t>
            </w:r>
          </w:p>
        </w:tc>
        <w:tc>
          <w:tcPr>
            <w:tcW w:w="794" w:type="dxa"/>
            <w:shd w:val="clear" w:color="auto" w:fill="auto"/>
            <w:vAlign w:val="center"/>
          </w:tcPr>
          <w:p w14:paraId="3E141AD2">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5.00001</w:t>
            </w:r>
          </w:p>
        </w:tc>
        <w:tc>
          <w:tcPr>
            <w:tcW w:w="794" w:type="dxa"/>
            <w:shd w:val="clear" w:color="auto" w:fill="auto"/>
            <w:vAlign w:val="center"/>
          </w:tcPr>
          <w:p w14:paraId="2455BEF6">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5.00011</w:t>
            </w:r>
          </w:p>
        </w:tc>
        <w:tc>
          <w:tcPr>
            <w:tcW w:w="794" w:type="dxa"/>
            <w:shd w:val="clear" w:color="auto" w:fill="auto"/>
            <w:vAlign w:val="center"/>
          </w:tcPr>
          <w:p w14:paraId="088BA096">
            <w:pPr>
              <w:keepNext w:val="0"/>
              <w:keepLines w:val="0"/>
              <w:widowControl/>
              <w:suppressLineNumbers w:val="0"/>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5.00010</w:t>
            </w:r>
          </w:p>
        </w:tc>
        <w:tc>
          <w:tcPr>
            <w:tcW w:w="403" w:type="pct"/>
            <w:vAlign w:val="center"/>
          </w:tcPr>
          <w:p w14:paraId="6F9C5D53">
            <w:pPr>
              <w:jc w:val="center"/>
              <w:rPr>
                <w:rFonts w:hint="default" w:eastAsia="宋体"/>
                <w:sz w:val="18"/>
                <w:szCs w:val="18"/>
                <w:lang w:val="en-US" w:eastAsia="zh-CN"/>
              </w:rPr>
            </w:pPr>
            <w:r>
              <w:rPr>
                <w:rFonts w:hint="eastAsia"/>
                <w:sz w:val="18"/>
                <w:szCs w:val="18"/>
                <w:lang w:val="en-US" w:eastAsia="zh-CN"/>
              </w:rPr>
              <w:t>0.000077</w:t>
            </w:r>
          </w:p>
        </w:tc>
      </w:tr>
      <w:tr w14:paraId="43C1EC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566" w:type="pct"/>
            <w:vAlign w:val="center"/>
          </w:tcPr>
          <w:p w14:paraId="29BE121A">
            <w:pPr>
              <w:spacing w:line="288" w:lineRule="auto"/>
              <w:jc w:val="center"/>
              <w:rPr>
                <w:sz w:val="20"/>
                <w:szCs w:val="21"/>
              </w:rPr>
            </w:pPr>
            <w:r>
              <w:rPr>
                <w:rFonts w:hint="eastAsia"/>
                <w:sz w:val="20"/>
                <w:szCs w:val="21"/>
              </w:rPr>
              <w:t>功率（</w:t>
            </w:r>
            <w:r>
              <w:rPr>
                <w:rFonts w:hint="eastAsia"/>
                <w:sz w:val="20"/>
                <w:szCs w:val="21"/>
                <w:lang w:val="en-US" w:eastAsia="zh-CN"/>
              </w:rPr>
              <w:t>k</w:t>
            </w:r>
            <w:r>
              <w:rPr>
                <w:sz w:val="20"/>
                <w:szCs w:val="21"/>
              </w:rPr>
              <w:t>W</w:t>
            </w:r>
            <w:r>
              <w:rPr>
                <w:rFonts w:hint="eastAsia"/>
                <w:sz w:val="20"/>
                <w:szCs w:val="21"/>
              </w:rPr>
              <w:t>）</w:t>
            </w:r>
          </w:p>
        </w:tc>
        <w:tc>
          <w:tcPr>
            <w:tcW w:w="795" w:type="dxa"/>
            <w:shd w:val="clear" w:color="auto" w:fill="auto"/>
            <w:vAlign w:val="center"/>
          </w:tcPr>
          <w:p w14:paraId="7BC93BB8">
            <w:pPr>
              <w:keepNext w:val="0"/>
              <w:keepLines w:val="0"/>
              <w:widowControl/>
              <w:suppressLineNumbers w:val="0"/>
              <w:jc w:val="center"/>
              <w:textAlignment w:val="center"/>
              <w:rPr>
                <w:rFonts w:eastAsia="黑体"/>
                <w:bCs/>
                <w:sz w:val="18"/>
                <w:szCs w:val="18"/>
              </w:rPr>
            </w:pP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w:t>
            </w:r>
            <w:r>
              <w:rPr>
                <w:rFonts w:hint="eastAsia" w:cs="Times New Roman"/>
                <w:i w:val="0"/>
                <w:iCs w:val="0"/>
                <w:color w:val="000000"/>
                <w:kern w:val="0"/>
                <w:sz w:val="18"/>
                <w:szCs w:val="18"/>
                <w:u w:val="none"/>
                <w:lang w:val="en-US" w:eastAsia="zh-CN" w:bidi="ar"/>
              </w:rPr>
              <w:t>0</w:t>
            </w:r>
            <w:r>
              <w:rPr>
                <w:rFonts w:hint="default" w:ascii="Times New Roman" w:hAnsi="Times New Roman" w:eastAsia="宋体" w:cs="Times New Roman"/>
                <w:i w:val="0"/>
                <w:iCs w:val="0"/>
                <w:color w:val="000000"/>
                <w:kern w:val="0"/>
                <w:sz w:val="18"/>
                <w:szCs w:val="18"/>
                <w:u w:val="none"/>
                <w:lang w:val="en-US" w:eastAsia="zh-CN" w:bidi="ar"/>
              </w:rPr>
              <w:t>9974</w:t>
            </w:r>
          </w:p>
        </w:tc>
        <w:tc>
          <w:tcPr>
            <w:tcW w:w="795" w:type="dxa"/>
            <w:shd w:val="clear" w:color="auto" w:fill="auto"/>
            <w:vAlign w:val="center"/>
          </w:tcPr>
          <w:p w14:paraId="7204FE99">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82</w:t>
            </w:r>
          </w:p>
        </w:tc>
        <w:tc>
          <w:tcPr>
            <w:tcW w:w="794" w:type="dxa"/>
            <w:shd w:val="clear" w:color="auto" w:fill="auto"/>
            <w:vAlign w:val="center"/>
          </w:tcPr>
          <w:p w14:paraId="44A81E0E">
            <w:pPr>
              <w:keepNext w:val="0"/>
              <w:keepLines w:val="0"/>
              <w:widowControl/>
              <w:suppressLineNumbers w:val="0"/>
              <w:jc w:val="center"/>
              <w:textAlignment w:val="center"/>
              <w:rPr>
                <w:rFonts w:eastAsia="黑体"/>
                <w:bCs/>
                <w:sz w:val="18"/>
                <w:szCs w:val="18"/>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89</w:t>
            </w:r>
          </w:p>
        </w:tc>
        <w:tc>
          <w:tcPr>
            <w:tcW w:w="794" w:type="dxa"/>
            <w:shd w:val="clear" w:color="auto" w:fill="auto"/>
            <w:vAlign w:val="center"/>
          </w:tcPr>
          <w:p w14:paraId="0095DD46">
            <w:pPr>
              <w:keepNext w:val="0"/>
              <w:keepLines w:val="0"/>
              <w:widowControl/>
              <w:suppressLineNumbers w:val="0"/>
              <w:jc w:val="center"/>
              <w:textAlignment w:val="center"/>
              <w:rPr>
                <w:rFonts w:eastAsia="黑体"/>
                <w:bCs/>
                <w:sz w:val="18"/>
                <w:szCs w:val="18"/>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997</w:t>
            </w:r>
            <w:r>
              <w:rPr>
                <w:rFonts w:hint="eastAsia" w:cs="Times New Roman"/>
                <w:i w:val="0"/>
                <w:iCs w:val="0"/>
                <w:color w:val="000000"/>
                <w:kern w:val="0"/>
                <w:sz w:val="18"/>
                <w:szCs w:val="18"/>
                <w:u w:val="none"/>
                <w:lang w:val="en-US" w:eastAsia="zh-CN" w:bidi="ar"/>
              </w:rPr>
              <w:t>8</w:t>
            </w:r>
          </w:p>
        </w:tc>
        <w:tc>
          <w:tcPr>
            <w:tcW w:w="794" w:type="dxa"/>
            <w:shd w:val="clear" w:color="auto" w:fill="auto"/>
            <w:vAlign w:val="center"/>
          </w:tcPr>
          <w:p w14:paraId="10568646">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93</w:t>
            </w:r>
          </w:p>
        </w:tc>
        <w:tc>
          <w:tcPr>
            <w:tcW w:w="794" w:type="dxa"/>
            <w:shd w:val="clear" w:color="auto" w:fill="auto"/>
            <w:vAlign w:val="center"/>
          </w:tcPr>
          <w:p w14:paraId="6269D59D">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83</w:t>
            </w:r>
          </w:p>
        </w:tc>
        <w:tc>
          <w:tcPr>
            <w:tcW w:w="794" w:type="dxa"/>
            <w:shd w:val="clear" w:color="auto" w:fill="auto"/>
            <w:vAlign w:val="center"/>
          </w:tcPr>
          <w:p w14:paraId="1134D77F">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79</w:t>
            </w:r>
          </w:p>
        </w:tc>
        <w:tc>
          <w:tcPr>
            <w:tcW w:w="794" w:type="dxa"/>
            <w:shd w:val="clear" w:color="auto" w:fill="auto"/>
            <w:vAlign w:val="center"/>
          </w:tcPr>
          <w:p w14:paraId="333BCAB3">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997</w:t>
            </w:r>
            <w:r>
              <w:rPr>
                <w:rFonts w:hint="eastAsia" w:cs="Times New Roman"/>
                <w:i w:val="0"/>
                <w:iCs w:val="0"/>
                <w:color w:val="000000"/>
                <w:kern w:val="0"/>
                <w:sz w:val="18"/>
                <w:szCs w:val="18"/>
                <w:u w:val="none"/>
                <w:lang w:val="en-US" w:eastAsia="zh-CN" w:bidi="ar"/>
              </w:rPr>
              <w:t>4</w:t>
            </w:r>
          </w:p>
        </w:tc>
        <w:tc>
          <w:tcPr>
            <w:tcW w:w="794" w:type="dxa"/>
            <w:shd w:val="clear" w:color="auto" w:fill="auto"/>
            <w:vAlign w:val="center"/>
          </w:tcPr>
          <w:p w14:paraId="17DC0B46">
            <w:pPr>
              <w:keepNext w:val="0"/>
              <w:keepLines w:val="0"/>
              <w:widowControl/>
              <w:suppressLineNumbers w:val="0"/>
              <w:jc w:val="center"/>
              <w:textAlignment w:val="center"/>
              <w:rPr>
                <w:rFonts w:hint="default" w:eastAsia="黑体"/>
                <w:bCs/>
                <w:sz w:val="18"/>
                <w:szCs w:val="18"/>
                <w:lang w:val="en-US"/>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w:t>
            </w:r>
            <w:r>
              <w:rPr>
                <w:rFonts w:hint="eastAsia" w:cs="Times New Roman"/>
                <w:i w:val="0"/>
                <w:iCs w:val="0"/>
                <w:color w:val="000000"/>
                <w:kern w:val="0"/>
                <w:sz w:val="18"/>
                <w:szCs w:val="18"/>
                <w:u w:val="none"/>
                <w:lang w:val="en-US" w:eastAsia="zh-CN" w:bidi="ar"/>
              </w:rPr>
              <w:t>80</w:t>
            </w:r>
          </w:p>
        </w:tc>
        <w:tc>
          <w:tcPr>
            <w:tcW w:w="794" w:type="dxa"/>
            <w:shd w:val="clear" w:color="auto" w:fill="auto"/>
            <w:vAlign w:val="center"/>
          </w:tcPr>
          <w:p w14:paraId="6FA93286">
            <w:pPr>
              <w:keepNext w:val="0"/>
              <w:keepLines w:val="0"/>
              <w:widowControl/>
              <w:suppressLineNumbers w:val="0"/>
              <w:jc w:val="center"/>
              <w:textAlignment w:val="center"/>
              <w:rPr>
                <w:rFonts w:eastAsia="黑体"/>
                <w:bCs/>
                <w:sz w:val="18"/>
                <w:szCs w:val="18"/>
              </w:rPr>
            </w:pPr>
            <w:r>
              <w:rPr>
                <w:rFonts w:hint="eastAsia" w:cs="Times New Roman"/>
                <w:i w:val="0"/>
                <w:iCs w:val="0"/>
                <w:color w:val="000000"/>
                <w:kern w:val="0"/>
                <w:sz w:val="18"/>
                <w:szCs w:val="18"/>
                <w:u w:val="none"/>
                <w:lang w:val="en-US" w:eastAsia="zh-CN" w:bidi="ar"/>
              </w:rPr>
              <w:t>1.0</w:t>
            </w:r>
            <w:r>
              <w:rPr>
                <w:rFonts w:hint="default" w:ascii="Times New Roman" w:hAnsi="Times New Roman" w:eastAsia="宋体" w:cs="Times New Roman"/>
                <w:i w:val="0"/>
                <w:iCs w:val="0"/>
                <w:color w:val="000000"/>
                <w:kern w:val="0"/>
                <w:sz w:val="18"/>
                <w:szCs w:val="18"/>
                <w:u w:val="none"/>
                <w:lang w:val="en-US" w:eastAsia="zh-CN" w:bidi="ar"/>
              </w:rPr>
              <w:t>997</w:t>
            </w:r>
            <w:r>
              <w:rPr>
                <w:rFonts w:hint="eastAsia" w:cs="Times New Roman"/>
                <w:i w:val="0"/>
                <w:iCs w:val="0"/>
                <w:color w:val="000000"/>
                <w:kern w:val="0"/>
                <w:sz w:val="18"/>
                <w:szCs w:val="18"/>
                <w:u w:val="none"/>
                <w:lang w:val="en-US" w:eastAsia="zh-CN" w:bidi="ar"/>
              </w:rPr>
              <w:t>3</w:t>
            </w:r>
          </w:p>
        </w:tc>
        <w:tc>
          <w:tcPr>
            <w:tcW w:w="403" w:type="pct"/>
            <w:vAlign w:val="center"/>
          </w:tcPr>
          <w:p w14:paraId="4904446D">
            <w:pPr>
              <w:jc w:val="center"/>
              <w:rPr>
                <w:rFonts w:hint="default" w:eastAsia="宋体"/>
                <w:sz w:val="18"/>
                <w:szCs w:val="18"/>
                <w:lang w:val="en-US" w:eastAsia="zh-CN"/>
              </w:rPr>
            </w:pPr>
            <w:r>
              <w:rPr>
                <w:rFonts w:hint="eastAsia"/>
                <w:sz w:val="18"/>
                <w:szCs w:val="18"/>
                <w:lang w:val="en-US" w:eastAsia="zh-CN"/>
              </w:rPr>
              <w:t>0.000066</w:t>
            </w:r>
          </w:p>
        </w:tc>
      </w:tr>
      <w:tr w14:paraId="3CBDF1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566" w:type="pct"/>
            <w:vAlign w:val="center"/>
          </w:tcPr>
          <w:p w14:paraId="508A71BF">
            <w:pPr>
              <w:spacing w:line="288" w:lineRule="auto"/>
              <w:jc w:val="center"/>
              <w:rPr>
                <w:rFonts w:hint="eastAsia" w:eastAsia="宋体"/>
                <w:sz w:val="20"/>
                <w:szCs w:val="21"/>
                <w:lang w:eastAsia="zh-CN"/>
              </w:rPr>
            </w:pPr>
            <w:bookmarkStart w:id="0" w:name="_Hlk229922344"/>
            <w:r>
              <w:rPr>
                <w:rFonts w:hint="eastAsia"/>
                <w:sz w:val="20"/>
                <w:szCs w:val="21"/>
                <w:lang w:eastAsia="zh-CN"/>
              </w:rPr>
              <w:t>频率</w:t>
            </w:r>
            <w:r>
              <w:rPr>
                <w:rFonts w:hint="eastAsia"/>
                <w:sz w:val="20"/>
                <w:szCs w:val="21"/>
              </w:rPr>
              <w:t>（</w:t>
            </w:r>
            <w:r>
              <w:rPr>
                <w:rFonts w:hint="eastAsia"/>
                <w:sz w:val="20"/>
                <w:szCs w:val="21"/>
                <w:lang w:val="en-US" w:eastAsia="zh-CN"/>
              </w:rPr>
              <w:t>Hz</w:t>
            </w:r>
            <w:r>
              <w:rPr>
                <w:rFonts w:hint="eastAsia"/>
                <w:sz w:val="20"/>
                <w:szCs w:val="21"/>
              </w:rPr>
              <w:t>）</w:t>
            </w:r>
          </w:p>
        </w:tc>
        <w:tc>
          <w:tcPr>
            <w:tcW w:w="795" w:type="dxa"/>
            <w:shd w:val="clear" w:color="000000" w:fill="FFFFFF"/>
            <w:vAlign w:val="center"/>
          </w:tcPr>
          <w:p w14:paraId="2A5AA01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5" w:type="dxa"/>
            <w:shd w:val="clear" w:color="000000" w:fill="FFFFFF"/>
            <w:vAlign w:val="center"/>
          </w:tcPr>
          <w:p w14:paraId="19CAC73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4BA92F7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33A2261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1AB5E31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349B88F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6013F93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454DED0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5053114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794" w:type="dxa"/>
            <w:shd w:val="clear" w:color="000000" w:fill="FFFFFF"/>
            <w:vAlign w:val="center"/>
          </w:tcPr>
          <w:p w14:paraId="2C45BCE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49.9996</w:t>
            </w:r>
          </w:p>
        </w:tc>
        <w:tc>
          <w:tcPr>
            <w:tcW w:w="403" w:type="pct"/>
            <w:vAlign w:val="center"/>
          </w:tcPr>
          <w:p w14:paraId="3569DF7D">
            <w:pPr>
              <w:jc w:val="center"/>
              <w:rPr>
                <w:rFonts w:hint="default" w:eastAsia="宋体"/>
                <w:sz w:val="18"/>
                <w:szCs w:val="18"/>
                <w:lang w:val="en-US" w:eastAsia="zh-CN"/>
              </w:rPr>
            </w:pPr>
            <w:r>
              <w:rPr>
                <w:rFonts w:hint="eastAsia"/>
                <w:sz w:val="18"/>
                <w:szCs w:val="18"/>
                <w:lang w:val="en-US" w:eastAsia="zh-CN"/>
              </w:rPr>
              <w:t>0.000000</w:t>
            </w:r>
          </w:p>
        </w:tc>
      </w:tr>
      <w:tr w14:paraId="73F58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566" w:type="pct"/>
            <w:vAlign w:val="center"/>
          </w:tcPr>
          <w:p w14:paraId="4C5B85EC">
            <w:pPr>
              <w:spacing w:line="288" w:lineRule="auto"/>
              <w:jc w:val="center"/>
              <w:rPr>
                <w:sz w:val="20"/>
                <w:szCs w:val="21"/>
              </w:rPr>
            </w:pPr>
            <w:r>
              <w:rPr>
                <w:rFonts w:hint="eastAsia"/>
                <w:sz w:val="20"/>
                <w:szCs w:val="21"/>
                <w:lang w:eastAsia="zh-CN"/>
              </w:rPr>
              <w:t>相位</w:t>
            </w:r>
            <w:r>
              <w:rPr>
                <w:rFonts w:hint="eastAsia"/>
                <w:sz w:val="20"/>
                <w:szCs w:val="21"/>
              </w:rPr>
              <w:t>（</w:t>
            </w:r>
            <w:r>
              <w:rPr>
                <w:sz w:val="20"/>
                <w:szCs w:val="21"/>
              </w:rPr>
              <w:t>°</w:t>
            </w:r>
            <w:r>
              <w:rPr>
                <w:rFonts w:hint="eastAsia"/>
                <w:sz w:val="20"/>
                <w:szCs w:val="21"/>
              </w:rPr>
              <w:t>）</w:t>
            </w:r>
          </w:p>
        </w:tc>
        <w:tc>
          <w:tcPr>
            <w:tcW w:w="795" w:type="dxa"/>
            <w:shd w:val="clear" w:color="auto" w:fill="auto"/>
            <w:vAlign w:val="center"/>
          </w:tcPr>
          <w:p w14:paraId="6E2D9396">
            <w:pPr>
              <w:keepNext w:val="0"/>
              <w:keepLines w:val="0"/>
              <w:widowControl/>
              <w:suppressLineNumbers w:val="0"/>
              <w:jc w:val="center"/>
              <w:textAlignment w:val="center"/>
              <w:rPr>
                <w:rFonts w:hint="default" w:eastAsia="黑体"/>
                <w:bCs/>
                <w:sz w:val="18"/>
                <w:szCs w:val="18"/>
                <w:lang w:val="en-US"/>
              </w:rPr>
            </w:pPr>
            <w:r>
              <w:rPr>
                <w:rFonts w:hint="default" w:ascii="Times New Roman" w:hAnsi="Times New Roman" w:eastAsia="宋体" w:cs="Times New Roman"/>
                <w:i w:val="0"/>
                <w:iCs w:val="0"/>
                <w:color w:val="000000"/>
                <w:kern w:val="0"/>
                <w:sz w:val="18"/>
                <w:szCs w:val="18"/>
                <w:u w:val="none"/>
                <w:lang w:val="en-US" w:eastAsia="zh-CN" w:bidi="ar"/>
              </w:rPr>
              <w:t>359.953</w:t>
            </w:r>
            <w:r>
              <w:rPr>
                <w:rFonts w:hint="eastAsia" w:cs="Times New Roman"/>
                <w:i w:val="0"/>
                <w:iCs w:val="0"/>
                <w:color w:val="000000"/>
                <w:kern w:val="0"/>
                <w:sz w:val="18"/>
                <w:szCs w:val="18"/>
                <w:u w:val="none"/>
                <w:lang w:val="en-US" w:eastAsia="zh-CN" w:bidi="ar"/>
              </w:rPr>
              <w:t>0</w:t>
            </w:r>
          </w:p>
        </w:tc>
        <w:tc>
          <w:tcPr>
            <w:tcW w:w="795" w:type="dxa"/>
            <w:shd w:val="clear" w:color="auto" w:fill="auto"/>
            <w:vAlign w:val="center"/>
          </w:tcPr>
          <w:p w14:paraId="6583CE10">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359.9561</w:t>
            </w:r>
          </w:p>
        </w:tc>
        <w:tc>
          <w:tcPr>
            <w:tcW w:w="794" w:type="dxa"/>
            <w:shd w:val="clear" w:color="auto" w:fill="auto"/>
            <w:vAlign w:val="center"/>
          </w:tcPr>
          <w:p w14:paraId="0C851D4C">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359.9549</w:t>
            </w:r>
          </w:p>
        </w:tc>
        <w:tc>
          <w:tcPr>
            <w:tcW w:w="794" w:type="dxa"/>
            <w:shd w:val="clear" w:color="auto" w:fill="auto"/>
            <w:vAlign w:val="center"/>
          </w:tcPr>
          <w:p w14:paraId="69C1AC25">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359.9535</w:t>
            </w:r>
          </w:p>
        </w:tc>
        <w:tc>
          <w:tcPr>
            <w:tcW w:w="794" w:type="dxa"/>
            <w:shd w:val="clear" w:color="auto" w:fill="auto"/>
            <w:vAlign w:val="center"/>
          </w:tcPr>
          <w:p w14:paraId="45F608D8">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359.9552</w:t>
            </w:r>
          </w:p>
        </w:tc>
        <w:tc>
          <w:tcPr>
            <w:tcW w:w="794" w:type="dxa"/>
            <w:shd w:val="clear" w:color="auto" w:fill="auto"/>
            <w:vAlign w:val="center"/>
          </w:tcPr>
          <w:p w14:paraId="0ABE148C">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359.9557</w:t>
            </w:r>
          </w:p>
        </w:tc>
        <w:tc>
          <w:tcPr>
            <w:tcW w:w="794" w:type="dxa"/>
            <w:shd w:val="clear" w:color="auto" w:fill="auto"/>
            <w:vAlign w:val="center"/>
          </w:tcPr>
          <w:p w14:paraId="3926FCAD">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359.9556</w:t>
            </w:r>
          </w:p>
        </w:tc>
        <w:tc>
          <w:tcPr>
            <w:tcW w:w="794" w:type="dxa"/>
            <w:shd w:val="clear" w:color="auto" w:fill="auto"/>
            <w:vAlign w:val="center"/>
          </w:tcPr>
          <w:p w14:paraId="27B84D12">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359.9560</w:t>
            </w:r>
          </w:p>
        </w:tc>
        <w:tc>
          <w:tcPr>
            <w:tcW w:w="794" w:type="dxa"/>
            <w:shd w:val="clear" w:color="auto" w:fill="auto"/>
            <w:vAlign w:val="center"/>
          </w:tcPr>
          <w:p w14:paraId="6471654F">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359.9540</w:t>
            </w:r>
          </w:p>
        </w:tc>
        <w:tc>
          <w:tcPr>
            <w:tcW w:w="794" w:type="dxa"/>
            <w:shd w:val="clear" w:color="auto" w:fill="auto"/>
            <w:vAlign w:val="center"/>
          </w:tcPr>
          <w:p w14:paraId="6D486342">
            <w:pPr>
              <w:keepNext w:val="0"/>
              <w:keepLines w:val="0"/>
              <w:widowControl/>
              <w:suppressLineNumbers w:val="0"/>
              <w:jc w:val="center"/>
              <w:textAlignment w:val="center"/>
              <w:rPr>
                <w:rFonts w:eastAsia="黑体"/>
                <w:bCs/>
                <w:sz w:val="18"/>
                <w:szCs w:val="18"/>
              </w:rPr>
            </w:pPr>
            <w:r>
              <w:rPr>
                <w:rFonts w:hint="default" w:ascii="Times New Roman" w:hAnsi="Times New Roman" w:eastAsia="宋体" w:cs="Times New Roman"/>
                <w:i w:val="0"/>
                <w:iCs w:val="0"/>
                <w:color w:val="000000"/>
                <w:kern w:val="0"/>
                <w:sz w:val="18"/>
                <w:szCs w:val="18"/>
                <w:u w:val="none"/>
                <w:lang w:val="en-US" w:eastAsia="zh-CN" w:bidi="ar"/>
              </w:rPr>
              <w:t>359.9540</w:t>
            </w:r>
          </w:p>
        </w:tc>
        <w:tc>
          <w:tcPr>
            <w:tcW w:w="403" w:type="pct"/>
            <w:vAlign w:val="center"/>
          </w:tcPr>
          <w:p w14:paraId="0D14D9D5">
            <w:pPr>
              <w:jc w:val="center"/>
              <w:rPr>
                <w:rFonts w:hint="default" w:eastAsia="宋体"/>
                <w:sz w:val="18"/>
                <w:szCs w:val="18"/>
                <w:lang w:val="en-US" w:eastAsia="zh-CN"/>
              </w:rPr>
            </w:pPr>
            <w:r>
              <w:rPr>
                <w:rFonts w:hint="eastAsia"/>
                <w:sz w:val="18"/>
                <w:szCs w:val="18"/>
                <w:lang w:val="en-US" w:eastAsia="zh-CN"/>
              </w:rPr>
              <w:t>0.001104</w:t>
            </w:r>
          </w:p>
        </w:tc>
      </w:tr>
      <w:bookmarkEnd w:id="0"/>
    </w:tbl>
    <w:p w14:paraId="030E8BFE">
      <w:pPr>
        <w:snapToGrid w:val="0"/>
        <w:spacing w:before="156" w:beforeLines="50"/>
        <w:rPr>
          <w:szCs w:val="21"/>
        </w:rPr>
      </w:pPr>
    </w:p>
    <w:p w14:paraId="2062DC1B">
      <w:pPr>
        <w:adjustRightInd w:val="0"/>
        <w:snapToGrid w:val="0"/>
        <w:ind w:firstLine="420" w:firstLineChars="200"/>
        <w:rPr>
          <w:bCs/>
        </w:rPr>
      </w:pPr>
      <w:r>
        <w:rPr>
          <w:rFonts w:hint="eastAsia"/>
          <w:lang w:eastAsia="zh-CN"/>
        </w:rPr>
        <w:t>由于</w:t>
      </w:r>
      <w:r>
        <w:t>在实际测量中，取二次测量的平均值</w:t>
      </w:r>
      <w:r>
        <w:rPr>
          <w:rFonts w:hint="eastAsia"/>
          <w:lang w:eastAsia="zh-CN"/>
        </w:rPr>
        <w:t>作为测量结果</w:t>
      </w:r>
      <w:r>
        <w:t>，故</w:t>
      </w:r>
      <w:r>
        <w:rPr>
          <w:bCs/>
        </w:rPr>
        <w:t>标准不确定度分量结果见表2</w:t>
      </w:r>
      <w:r>
        <w:t>，其中，</w:t>
      </w:r>
      <w:r>
        <w:rPr>
          <w:bCs/>
          <w:position w:val="-12"/>
        </w:rPr>
        <w:object>
          <v:shape id="_x0000_i1031" o:spt="75" type="#_x0000_t75" style="height:20.15pt;width:55.3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bCs/>
        </w:rPr>
        <w:t>。</w:t>
      </w:r>
    </w:p>
    <w:p w14:paraId="0BA2C464">
      <w:pPr>
        <w:snapToGrid w:val="0"/>
        <w:spacing w:before="156" w:beforeLines="50"/>
        <w:jc w:val="center"/>
        <w:rPr>
          <w:bCs/>
          <w:color w:val="000000"/>
          <w:szCs w:val="21"/>
        </w:rPr>
      </w:pPr>
      <w:r>
        <w:rPr>
          <w:szCs w:val="21"/>
        </w:rPr>
        <w:t>表2</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230"/>
        <w:gridCol w:w="3232"/>
        <w:gridCol w:w="3232"/>
      </w:tblGrid>
      <w:tr w14:paraId="25265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7E54D5DD">
            <w:pPr>
              <w:adjustRightInd w:val="0"/>
              <w:snapToGrid w:val="0"/>
              <w:jc w:val="center"/>
              <w:rPr>
                <w:szCs w:val="21"/>
              </w:rPr>
            </w:pPr>
            <w:r>
              <w:rPr>
                <w:szCs w:val="21"/>
              </w:rPr>
              <w:t>参数</w:t>
            </w:r>
          </w:p>
        </w:tc>
        <w:tc>
          <w:tcPr>
            <w:tcW w:w="3232" w:type="dxa"/>
            <w:vAlign w:val="center"/>
          </w:tcPr>
          <w:p w14:paraId="179D7F91">
            <w:pPr>
              <w:adjustRightInd w:val="0"/>
              <w:snapToGrid w:val="0"/>
              <w:jc w:val="center"/>
              <w:rPr>
                <w:i/>
              </w:rPr>
            </w:pPr>
            <w:r>
              <w:rPr>
                <w:rFonts w:hint="eastAsia"/>
                <w:snapToGrid w:val="0"/>
                <w:kern w:val="0"/>
                <w:szCs w:val="21"/>
              </w:rPr>
              <w:t>试验</w:t>
            </w:r>
            <w:r>
              <w:rPr>
                <w:snapToGrid w:val="0"/>
                <w:kern w:val="0"/>
                <w:szCs w:val="21"/>
              </w:rPr>
              <w:t>标准差</w:t>
            </w:r>
            <w:r>
              <w:rPr>
                <w:i/>
              </w:rPr>
              <w:t>S</w:t>
            </w:r>
          </w:p>
        </w:tc>
        <w:tc>
          <w:tcPr>
            <w:tcW w:w="3232" w:type="dxa"/>
            <w:vAlign w:val="center"/>
          </w:tcPr>
          <w:p w14:paraId="10338FF5">
            <w:pPr>
              <w:adjustRightInd w:val="0"/>
              <w:snapToGrid w:val="0"/>
              <w:jc w:val="center"/>
              <w:rPr>
                <w:snapToGrid w:val="0"/>
                <w:kern w:val="0"/>
                <w:szCs w:val="21"/>
              </w:rPr>
            </w:pPr>
            <w:r>
              <w:rPr>
                <w:szCs w:val="21"/>
              </w:rPr>
              <w:t>标准不确定度分量</w:t>
            </w:r>
            <w:r>
              <w:rPr>
                <w:bCs/>
                <w:position w:val="-12"/>
              </w:rPr>
              <w:object>
                <v:shape id="_x0000_i1032"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32" DrawAspect="Content" ObjectID="_1468075732" r:id="rId25">
                  <o:LockedField>false</o:LockedField>
                </o:OLEObject>
              </w:object>
            </w:r>
          </w:p>
        </w:tc>
      </w:tr>
      <w:tr w14:paraId="6DB90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5ECEB044">
            <w:pPr>
              <w:spacing w:line="288" w:lineRule="auto"/>
              <w:jc w:val="center"/>
              <w:rPr>
                <w:szCs w:val="21"/>
              </w:rPr>
            </w:pPr>
            <w:r>
              <w:rPr>
                <w:rFonts w:hint="eastAsia"/>
                <w:sz w:val="20"/>
                <w:szCs w:val="21"/>
              </w:rPr>
              <w:t>电压（</w:t>
            </w:r>
            <w:r>
              <w:rPr>
                <w:rStyle w:val="16"/>
                <w:rFonts w:eastAsia="宋体"/>
                <w:lang w:val="en-US" w:eastAsia="zh-CN" w:bidi="ar"/>
              </w:rPr>
              <w:t>V</w:t>
            </w:r>
            <w:r>
              <w:rPr>
                <w:rFonts w:hint="eastAsia"/>
                <w:sz w:val="20"/>
                <w:szCs w:val="21"/>
              </w:rPr>
              <w:t>）</w:t>
            </w:r>
          </w:p>
        </w:tc>
        <w:tc>
          <w:tcPr>
            <w:tcW w:w="3232" w:type="dxa"/>
            <w:vAlign w:val="bottom"/>
          </w:tcPr>
          <w:p w14:paraId="3A4D1C43">
            <w:pPr>
              <w:keepNext w:val="0"/>
              <w:keepLines w:val="0"/>
              <w:widowControl/>
              <w:suppressLineNumbers w:val="0"/>
              <w:jc w:val="center"/>
              <w:textAlignment w:val="center"/>
              <w:rPr>
                <w:rFonts w:hint="default"/>
                <w:snapToGrid w:val="0"/>
                <w:kern w:val="0"/>
                <w:szCs w:val="21"/>
                <w:lang w:val="en-US"/>
              </w:rPr>
            </w:pPr>
            <w:r>
              <w:rPr>
                <w:rFonts w:hint="eastAsia" w:ascii="Times New Roman" w:hAnsi="Times New Roman" w:eastAsia="宋体" w:cs="Times New Roman"/>
                <w:i w:val="0"/>
                <w:iCs w:val="0"/>
                <w:color w:val="000000"/>
                <w:kern w:val="0"/>
                <w:sz w:val="18"/>
                <w:szCs w:val="18"/>
                <w:u w:val="none"/>
                <w:lang w:val="en-US" w:eastAsia="zh-CN" w:bidi="ar"/>
              </w:rPr>
              <w:t>0.000</w:t>
            </w:r>
            <w:r>
              <w:rPr>
                <w:rFonts w:hint="eastAsia" w:cs="Times New Roman"/>
                <w:i w:val="0"/>
                <w:iCs w:val="0"/>
                <w:color w:val="000000"/>
                <w:kern w:val="0"/>
                <w:sz w:val="18"/>
                <w:szCs w:val="18"/>
                <w:u w:val="none"/>
                <w:lang w:val="en-US" w:eastAsia="zh-CN" w:bidi="ar"/>
              </w:rPr>
              <w:t>978</w:t>
            </w:r>
          </w:p>
        </w:tc>
        <w:tc>
          <w:tcPr>
            <w:tcW w:w="3232" w:type="dxa"/>
            <w:vAlign w:val="center"/>
          </w:tcPr>
          <w:p w14:paraId="3B41FDF9">
            <w:pPr>
              <w:adjustRightInd w:val="0"/>
              <w:snapToGrid w:val="0"/>
              <w:jc w:val="center"/>
              <w:rPr>
                <w:rFonts w:hint="default" w:eastAsia="宋体"/>
                <w:szCs w:val="21"/>
                <w:lang w:val="en-US" w:eastAsia="zh-CN"/>
              </w:rPr>
            </w:pPr>
            <w:r>
              <w:t>0.0</w:t>
            </w:r>
            <w:r>
              <w:rPr>
                <w:rFonts w:hint="eastAsia"/>
                <w:lang w:val="en-US" w:eastAsia="zh-CN"/>
              </w:rPr>
              <w:t>00692</w:t>
            </w:r>
          </w:p>
        </w:tc>
      </w:tr>
      <w:tr w14:paraId="6E5C9D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4AC0A490">
            <w:pPr>
              <w:spacing w:line="288" w:lineRule="auto"/>
              <w:jc w:val="center"/>
              <w:rPr>
                <w:szCs w:val="21"/>
              </w:rPr>
            </w:pPr>
            <w:r>
              <w:rPr>
                <w:rFonts w:hint="eastAsia"/>
                <w:sz w:val="20"/>
                <w:szCs w:val="21"/>
              </w:rPr>
              <w:t>电流（</w:t>
            </w:r>
            <w:r>
              <w:rPr>
                <w:rStyle w:val="16"/>
                <w:rFonts w:eastAsia="宋体"/>
                <w:lang w:val="en-US" w:eastAsia="zh-CN" w:bidi="ar"/>
              </w:rPr>
              <w:t>A</w:t>
            </w:r>
            <w:r>
              <w:rPr>
                <w:rFonts w:hint="eastAsia"/>
                <w:sz w:val="20"/>
                <w:szCs w:val="21"/>
              </w:rPr>
              <w:t>）</w:t>
            </w:r>
          </w:p>
        </w:tc>
        <w:tc>
          <w:tcPr>
            <w:tcW w:w="3232" w:type="dxa"/>
            <w:vAlign w:val="center"/>
          </w:tcPr>
          <w:p w14:paraId="5B75F3C4">
            <w:pPr>
              <w:jc w:val="center"/>
              <w:rPr>
                <w:rFonts w:hint="default"/>
                <w:snapToGrid w:val="0"/>
                <w:kern w:val="0"/>
                <w:szCs w:val="21"/>
                <w:lang w:val="en-US"/>
              </w:rPr>
            </w:pPr>
            <w:r>
              <w:rPr>
                <w:rFonts w:hint="eastAsia"/>
                <w:sz w:val="18"/>
                <w:szCs w:val="18"/>
                <w:lang w:val="en-US" w:eastAsia="zh-CN"/>
              </w:rPr>
              <w:t>0.000077</w:t>
            </w:r>
          </w:p>
        </w:tc>
        <w:tc>
          <w:tcPr>
            <w:tcW w:w="3232" w:type="dxa"/>
            <w:vAlign w:val="center"/>
          </w:tcPr>
          <w:p w14:paraId="57157CAB">
            <w:pPr>
              <w:adjustRightInd w:val="0"/>
              <w:snapToGrid w:val="0"/>
              <w:jc w:val="center"/>
              <w:rPr>
                <w:rFonts w:hint="default" w:eastAsia="宋体"/>
                <w:szCs w:val="21"/>
                <w:lang w:val="en-US" w:eastAsia="zh-CN"/>
              </w:rPr>
            </w:pPr>
            <w:r>
              <w:rPr>
                <w:rFonts w:hint="eastAsia"/>
                <w:szCs w:val="21"/>
                <w:lang w:val="en-US" w:eastAsia="zh-CN"/>
              </w:rPr>
              <w:t>0.0000545</w:t>
            </w:r>
          </w:p>
        </w:tc>
      </w:tr>
      <w:tr w14:paraId="600FB5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112273EE">
            <w:pPr>
              <w:spacing w:line="288" w:lineRule="auto"/>
              <w:jc w:val="center"/>
              <w:rPr>
                <w:bCs/>
                <w:szCs w:val="21"/>
              </w:rPr>
            </w:pPr>
            <w:r>
              <w:rPr>
                <w:rFonts w:hint="eastAsia"/>
                <w:sz w:val="20"/>
                <w:szCs w:val="21"/>
              </w:rPr>
              <w:t>功率（</w:t>
            </w:r>
            <w:r>
              <w:rPr>
                <w:rFonts w:hint="eastAsia"/>
                <w:sz w:val="20"/>
                <w:szCs w:val="21"/>
                <w:lang w:val="en-US" w:eastAsia="zh-CN"/>
              </w:rPr>
              <w:t>k</w:t>
            </w:r>
            <w:r>
              <w:rPr>
                <w:sz w:val="20"/>
                <w:szCs w:val="21"/>
              </w:rPr>
              <w:t>W</w:t>
            </w:r>
            <w:r>
              <w:rPr>
                <w:rFonts w:hint="eastAsia"/>
                <w:sz w:val="20"/>
                <w:szCs w:val="21"/>
              </w:rPr>
              <w:t>）</w:t>
            </w:r>
          </w:p>
        </w:tc>
        <w:tc>
          <w:tcPr>
            <w:tcW w:w="3232" w:type="dxa"/>
            <w:vAlign w:val="center"/>
          </w:tcPr>
          <w:p w14:paraId="71C623A9">
            <w:pPr>
              <w:jc w:val="center"/>
              <w:rPr>
                <w:rFonts w:hint="default"/>
                <w:lang w:val="en-US"/>
              </w:rPr>
            </w:pPr>
            <w:r>
              <w:rPr>
                <w:rFonts w:hint="eastAsia"/>
                <w:sz w:val="18"/>
                <w:szCs w:val="18"/>
                <w:lang w:val="en-US" w:eastAsia="zh-CN"/>
              </w:rPr>
              <w:t>0.000066</w:t>
            </w:r>
          </w:p>
        </w:tc>
        <w:tc>
          <w:tcPr>
            <w:tcW w:w="3232" w:type="dxa"/>
            <w:vAlign w:val="center"/>
          </w:tcPr>
          <w:p w14:paraId="5952FF0F">
            <w:pPr>
              <w:adjustRightInd w:val="0"/>
              <w:snapToGrid w:val="0"/>
              <w:jc w:val="center"/>
              <w:rPr>
                <w:rFonts w:hint="default" w:eastAsia="宋体"/>
                <w:lang w:val="en-US" w:eastAsia="zh-CN"/>
              </w:rPr>
            </w:pPr>
            <w:r>
              <w:rPr>
                <w:rFonts w:hint="eastAsia"/>
                <w:lang w:val="en-US" w:eastAsia="zh-CN"/>
              </w:rPr>
              <w:t>0.0000467</w:t>
            </w:r>
          </w:p>
        </w:tc>
      </w:tr>
      <w:tr w14:paraId="613B58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2342AD86">
            <w:pPr>
              <w:spacing w:line="288" w:lineRule="auto"/>
              <w:jc w:val="center"/>
              <w:rPr>
                <w:rFonts w:hint="eastAsia"/>
                <w:sz w:val="20"/>
                <w:szCs w:val="21"/>
              </w:rPr>
            </w:pPr>
            <w:r>
              <w:rPr>
                <w:rFonts w:hint="eastAsia"/>
                <w:sz w:val="20"/>
                <w:szCs w:val="21"/>
                <w:lang w:eastAsia="zh-CN"/>
              </w:rPr>
              <w:t>频率</w:t>
            </w:r>
            <w:r>
              <w:rPr>
                <w:rFonts w:hint="eastAsia"/>
                <w:sz w:val="20"/>
                <w:szCs w:val="21"/>
              </w:rPr>
              <w:t>（</w:t>
            </w:r>
            <w:r>
              <w:rPr>
                <w:rFonts w:hint="eastAsia"/>
                <w:sz w:val="20"/>
                <w:szCs w:val="21"/>
                <w:lang w:val="en-US" w:eastAsia="zh-CN"/>
              </w:rPr>
              <w:t>Hz</w:t>
            </w:r>
            <w:r>
              <w:rPr>
                <w:rFonts w:hint="eastAsia"/>
                <w:sz w:val="20"/>
                <w:szCs w:val="21"/>
              </w:rPr>
              <w:t>）</w:t>
            </w:r>
          </w:p>
        </w:tc>
        <w:tc>
          <w:tcPr>
            <w:tcW w:w="3232" w:type="dxa"/>
            <w:vAlign w:val="center"/>
          </w:tcPr>
          <w:p w14:paraId="392149CB">
            <w:pPr>
              <w:jc w:val="center"/>
              <w:rPr>
                <w:rFonts w:hint="default"/>
                <w:lang w:val="en-US"/>
              </w:rPr>
            </w:pPr>
            <w:r>
              <w:rPr>
                <w:rFonts w:hint="eastAsia"/>
                <w:sz w:val="18"/>
                <w:szCs w:val="18"/>
                <w:lang w:val="en-US" w:eastAsia="zh-CN"/>
              </w:rPr>
              <w:t>0.000000</w:t>
            </w:r>
          </w:p>
        </w:tc>
        <w:tc>
          <w:tcPr>
            <w:tcW w:w="3232" w:type="dxa"/>
            <w:vAlign w:val="center"/>
          </w:tcPr>
          <w:p w14:paraId="1D34C867">
            <w:pPr>
              <w:adjustRightInd w:val="0"/>
              <w:snapToGrid w:val="0"/>
              <w:jc w:val="center"/>
              <w:rPr>
                <w:rFonts w:hint="default" w:eastAsia="宋体"/>
                <w:lang w:val="en-US" w:eastAsia="zh-CN"/>
              </w:rPr>
            </w:pPr>
            <w:r>
              <w:rPr>
                <w:rFonts w:hint="eastAsia"/>
                <w:lang w:val="en-US" w:eastAsia="zh-CN"/>
              </w:rPr>
              <w:t>0.000000</w:t>
            </w:r>
          </w:p>
        </w:tc>
      </w:tr>
      <w:tr w14:paraId="75C3F1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61DC66DD">
            <w:pPr>
              <w:spacing w:line="288" w:lineRule="auto"/>
              <w:jc w:val="center"/>
              <w:rPr>
                <w:bCs/>
                <w:szCs w:val="21"/>
              </w:rPr>
            </w:pPr>
            <w:r>
              <w:rPr>
                <w:rFonts w:hint="eastAsia"/>
                <w:sz w:val="20"/>
                <w:szCs w:val="21"/>
                <w:lang w:eastAsia="zh-CN"/>
              </w:rPr>
              <w:t>相位</w:t>
            </w:r>
            <w:r>
              <w:rPr>
                <w:rFonts w:hint="eastAsia"/>
                <w:sz w:val="20"/>
                <w:szCs w:val="21"/>
              </w:rPr>
              <w:t>（</w:t>
            </w:r>
            <w:r>
              <w:rPr>
                <w:sz w:val="20"/>
                <w:szCs w:val="21"/>
              </w:rPr>
              <w:t>°</w:t>
            </w:r>
            <w:r>
              <w:rPr>
                <w:rFonts w:hint="eastAsia"/>
                <w:sz w:val="20"/>
                <w:szCs w:val="21"/>
              </w:rPr>
              <w:t>）</w:t>
            </w:r>
          </w:p>
        </w:tc>
        <w:tc>
          <w:tcPr>
            <w:tcW w:w="3232" w:type="dxa"/>
            <w:vAlign w:val="center"/>
          </w:tcPr>
          <w:p w14:paraId="5F6319AE">
            <w:pPr>
              <w:jc w:val="center"/>
            </w:pPr>
            <w:r>
              <w:rPr>
                <w:rFonts w:hint="eastAsia"/>
                <w:sz w:val="18"/>
                <w:szCs w:val="18"/>
                <w:lang w:val="en-US" w:eastAsia="zh-CN"/>
              </w:rPr>
              <w:t>0.001104</w:t>
            </w:r>
          </w:p>
        </w:tc>
        <w:tc>
          <w:tcPr>
            <w:tcW w:w="3232" w:type="dxa"/>
            <w:vAlign w:val="center"/>
          </w:tcPr>
          <w:p w14:paraId="77DD098A">
            <w:pPr>
              <w:adjustRightInd w:val="0"/>
              <w:snapToGrid w:val="0"/>
              <w:jc w:val="center"/>
              <w:rPr>
                <w:rFonts w:hint="default" w:eastAsia="宋体"/>
                <w:lang w:val="en-US" w:eastAsia="zh-CN"/>
              </w:rPr>
            </w:pPr>
            <w:r>
              <w:rPr>
                <w:rFonts w:hint="eastAsia"/>
                <w:lang w:val="en-US" w:eastAsia="zh-CN"/>
              </w:rPr>
              <w:t>0.000781</w:t>
            </w:r>
          </w:p>
        </w:tc>
      </w:tr>
    </w:tbl>
    <w:p w14:paraId="397B4FD6">
      <w:pPr>
        <w:spacing w:before="156" w:beforeLines="50"/>
        <w:ind w:firstLine="420" w:firstLineChars="200"/>
      </w:pPr>
      <w:r>
        <w:t>2．</w:t>
      </w:r>
      <w:r>
        <w:rPr>
          <w:rFonts w:hint="eastAsia"/>
        </w:rPr>
        <w:t>测量标准的误差</w:t>
      </w:r>
      <w:r>
        <w:rPr>
          <w:bCs/>
        </w:rPr>
        <w:t>引入的标准不确定度分量</w:t>
      </w:r>
      <w:r>
        <w:rPr>
          <w:bCs/>
          <w:position w:val="-12"/>
        </w:rPr>
        <w:object>
          <v:shape id="_x0000_i1033" o:spt="75" type="#_x0000_t75" style="height:19.6pt;width:13.25pt;" o:ole="t" filled="f" o:preferrelative="t" stroked="f" coordsize="21600,21600">
            <v:path/>
            <v:fill on="f" focussize="0,0"/>
            <v:stroke on="f" joinstyle="miter"/>
            <v:imagedata r:id="rId17" o:title=""/>
            <o:lock v:ext="edit" aspectratio="t"/>
            <w10:wrap type="none"/>
            <w10:anchorlock/>
          </v:shape>
          <o:OLEObject Type="Embed" ProgID="Equation.DSMT4" ShapeID="_x0000_i1033" DrawAspect="Content" ObjectID="_1468075733" r:id="rId26">
            <o:LockedField>false</o:LockedField>
          </o:OLEObject>
        </w:object>
      </w:r>
    </w:p>
    <w:p w14:paraId="4AB29930">
      <w:pPr>
        <w:spacing w:line="360" w:lineRule="auto"/>
        <w:ind w:firstLine="420" w:firstLineChars="200"/>
        <w:rPr>
          <w:bCs/>
          <w:szCs w:val="21"/>
        </w:rPr>
      </w:pPr>
      <w:r>
        <w:rPr>
          <w:rFonts w:hint="eastAsia"/>
          <w:bCs/>
          <w:szCs w:val="21"/>
        </w:rPr>
        <w:t>测量标准在测量0.</w:t>
      </w:r>
      <w:r>
        <w:rPr>
          <w:rFonts w:hint="eastAsia"/>
          <w:bCs/>
          <w:szCs w:val="21"/>
          <w:lang w:val="en-US" w:eastAsia="zh-CN"/>
        </w:rPr>
        <w:t>05</w:t>
      </w:r>
      <w:r>
        <w:rPr>
          <w:rFonts w:hint="eastAsia"/>
          <w:bCs/>
          <w:szCs w:val="21"/>
        </w:rPr>
        <w:t>级被测对象的</w:t>
      </w:r>
      <w:r>
        <w:rPr>
          <w:rFonts w:hint="eastAsia"/>
          <w:bCs/>
          <w:szCs w:val="21"/>
          <w:lang w:eastAsia="zh-CN"/>
        </w:rPr>
        <w:t>示值参数测量</w:t>
      </w:r>
      <w:r>
        <w:rPr>
          <w:rFonts w:hint="eastAsia"/>
          <w:bCs/>
          <w:szCs w:val="21"/>
        </w:rPr>
        <w:t>误差时，由测量标准的误差引入的标准不确定度分量可以通过国家院溯源证书计算得到，溯源证书上</w:t>
      </w:r>
      <w:r>
        <w:rPr>
          <w:rFonts w:hint="eastAsia" w:hAnsi="宋体"/>
          <w:szCs w:val="21"/>
        </w:rPr>
        <w:t>电压的最大允许误差不超过</w:t>
      </w:r>
      <w:r>
        <w:rPr>
          <w:rFonts w:hint="eastAsia"/>
          <w:szCs w:val="21"/>
        </w:rPr>
        <w:t>±0.0</w:t>
      </w:r>
      <w:r>
        <w:rPr>
          <w:rFonts w:hint="eastAsia"/>
          <w:szCs w:val="21"/>
          <w:lang w:val="en-US" w:eastAsia="zh-CN"/>
        </w:rPr>
        <w:t>08</w:t>
      </w:r>
      <w:r>
        <w:rPr>
          <w:rFonts w:hint="eastAsia"/>
          <w:szCs w:val="21"/>
        </w:rPr>
        <w:t>%</w:t>
      </w:r>
      <w:r>
        <w:rPr>
          <w:rFonts w:hint="eastAsia"/>
          <w:bCs/>
          <w:szCs w:val="21"/>
        </w:rPr>
        <w:t>，溯源证书上</w:t>
      </w:r>
      <w:r>
        <w:rPr>
          <w:rFonts w:hint="eastAsia" w:hAnsi="宋体"/>
          <w:szCs w:val="21"/>
        </w:rPr>
        <w:t>电</w:t>
      </w:r>
      <w:r>
        <w:rPr>
          <w:rFonts w:hint="eastAsia" w:hAnsi="宋体"/>
          <w:szCs w:val="21"/>
          <w:lang w:eastAsia="zh-CN"/>
        </w:rPr>
        <w:t>流</w:t>
      </w:r>
      <w:r>
        <w:rPr>
          <w:rFonts w:hint="eastAsia" w:hAnsi="宋体"/>
          <w:szCs w:val="21"/>
        </w:rPr>
        <w:t>的最大允许误差不超过</w:t>
      </w:r>
      <w:r>
        <w:rPr>
          <w:rFonts w:hint="eastAsia"/>
          <w:szCs w:val="21"/>
        </w:rPr>
        <w:t>±0.0</w:t>
      </w:r>
      <w:r>
        <w:rPr>
          <w:rFonts w:hint="eastAsia"/>
          <w:szCs w:val="21"/>
          <w:lang w:val="en-US" w:eastAsia="zh-CN"/>
        </w:rPr>
        <w:t>06</w:t>
      </w:r>
      <w:r>
        <w:rPr>
          <w:rFonts w:hint="eastAsia"/>
          <w:szCs w:val="21"/>
        </w:rPr>
        <w:t>%</w:t>
      </w:r>
      <w:r>
        <w:rPr>
          <w:rFonts w:hint="eastAsia"/>
          <w:bCs/>
          <w:szCs w:val="21"/>
        </w:rPr>
        <w:t>，溯源证书上功率</w:t>
      </w:r>
      <w:r>
        <w:rPr>
          <w:rFonts w:hint="eastAsia" w:hAnsi="宋体"/>
          <w:szCs w:val="21"/>
        </w:rPr>
        <w:t>的最大允许误差不超过</w:t>
      </w:r>
      <w:r>
        <w:rPr>
          <w:rFonts w:hint="eastAsia"/>
          <w:szCs w:val="21"/>
        </w:rPr>
        <w:t>±0.01</w:t>
      </w:r>
      <w:r>
        <w:rPr>
          <w:rFonts w:hint="eastAsia"/>
          <w:szCs w:val="21"/>
          <w:lang w:val="en-US" w:eastAsia="zh-CN"/>
        </w:rPr>
        <w:t>9</w:t>
      </w:r>
      <w:r>
        <w:rPr>
          <w:rFonts w:hint="eastAsia"/>
          <w:szCs w:val="21"/>
        </w:rPr>
        <w:t>%</w:t>
      </w:r>
      <w:r>
        <w:rPr>
          <w:rFonts w:hint="eastAsia"/>
          <w:bCs/>
          <w:szCs w:val="21"/>
        </w:rPr>
        <w:t>，溯源证书上</w:t>
      </w:r>
      <w:r>
        <w:rPr>
          <w:rFonts w:hint="eastAsia"/>
          <w:bCs/>
          <w:szCs w:val="21"/>
          <w:lang w:eastAsia="zh-CN"/>
        </w:rPr>
        <w:t>相位</w:t>
      </w:r>
      <w:r>
        <w:rPr>
          <w:rFonts w:hint="eastAsia" w:hAnsi="宋体"/>
          <w:szCs w:val="21"/>
        </w:rPr>
        <w:t>的最大允许误差不超过</w:t>
      </w:r>
      <w:r>
        <w:t>±</w:t>
      </w:r>
      <w:r>
        <w:rPr>
          <w:rFonts w:hint="eastAsia"/>
          <w:lang w:val="en-US" w:eastAsia="zh-CN"/>
        </w:rPr>
        <w:t>0.003</w:t>
      </w:r>
      <w:r>
        <w:rPr>
          <w:rFonts w:ascii="Times New Roman" w:hAnsi="Times New Roman"/>
          <w:szCs w:val="21"/>
        </w:rPr>
        <w:t>°</w:t>
      </w:r>
      <w:r>
        <w:rPr>
          <w:rFonts w:hint="eastAsia"/>
          <w:bCs/>
          <w:szCs w:val="21"/>
        </w:rPr>
        <w:t>，溯源证书上</w:t>
      </w:r>
      <w:r>
        <w:rPr>
          <w:rFonts w:hint="eastAsia"/>
          <w:bCs/>
          <w:szCs w:val="21"/>
          <w:lang w:eastAsia="zh-CN"/>
        </w:rPr>
        <w:t>频</w:t>
      </w:r>
      <w:r>
        <w:rPr>
          <w:rFonts w:hint="eastAsia"/>
          <w:bCs/>
          <w:szCs w:val="21"/>
        </w:rPr>
        <w:t>率</w:t>
      </w:r>
      <w:r>
        <w:rPr>
          <w:rFonts w:hint="eastAsia" w:hAnsi="宋体"/>
          <w:szCs w:val="21"/>
        </w:rPr>
        <w:t>的最大允许误差不超过</w:t>
      </w:r>
      <w:r>
        <w:t>±0.</w:t>
      </w:r>
      <w:r>
        <w:rPr>
          <w:rFonts w:hint="eastAsia"/>
          <w:lang w:val="en-US" w:eastAsia="zh-CN"/>
        </w:rPr>
        <w:t>0014</w:t>
      </w:r>
      <w:r>
        <w:rPr>
          <w:rFonts w:hint="eastAsia"/>
        </w:rPr>
        <w:t>%</w:t>
      </w:r>
      <w:r>
        <w:rPr>
          <w:rFonts w:hint="eastAsia"/>
          <w:bCs/>
          <w:szCs w:val="21"/>
        </w:rPr>
        <w:t>，按照均匀分布，</w:t>
      </w:r>
      <w:r>
        <w:rPr>
          <w:bCs/>
          <w:position w:val="-8"/>
        </w:rPr>
        <w:object>
          <v:shape id="_x0000_i1034" o:spt="75" type="#_x0000_t75" style="height:19.6pt;width:36.8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rFonts w:hint="eastAsia"/>
          <w:bCs/>
          <w:szCs w:val="21"/>
        </w:rPr>
        <w:t>，</w:t>
      </w:r>
      <w:r>
        <w:rPr>
          <w:rFonts w:hint="eastAsia"/>
          <w:bCs/>
        </w:rPr>
        <w:t>计算</w:t>
      </w:r>
      <w:r>
        <w:rPr>
          <w:bCs/>
        </w:rPr>
        <w:t>得到</w:t>
      </w:r>
      <w:r>
        <w:rPr>
          <w:rFonts w:hint="eastAsia"/>
          <w:bCs/>
          <w:szCs w:val="21"/>
          <w:lang w:eastAsia="zh-CN"/>
        </w:rPr>
        <w:t>示值参数测量</w:t>
      </w:r>
      <w:r>
        <w:rPr>
          <w:rFonts w:hint="eastAsia"/>
          <w:bCs/>
          <w:szCs w:val="21"/>
        </w:rPr>
        <w:t>误差</w:t>
      </w:r>
      <w:r>
        <w:rPr>
          <w:bCs/>
        </w:rPr>
        <w:t>的标准不确定度分量结果</w:t>
      </w:r>
      <w:r>
        <w:rPr>
          <w:rFonts w:hint="eastAsia"/>
          <w:bCs/>
          <w:szCs w:val="21"/>
        </w:rPr>
        <w:t>：</w:t>
      </w:r>
    </w:p>
    <w:p w14:paraId="6B5FE979">
      <w:pPr>
        <w:spacing w:line="360" w:lineRule="auto"/>
        <w:ind w:firstLine="420" w:firstLineChars="200"/>
        <w:rPr>
          <w:bCs/>
        </w:rPr>
      </w:pPr>
      <w:r>
        <w:rPr>
          <w:rFonts w:hint="eastAsia"/>
          <w:bCs/>
        </w:rPr>
        <w:t>电压</w:t>
      </w:r>
      <w:r>
        <w:rPr>
          <w:bCs/>
        </w:rPr>
        <w:t>：</w:t>
      </w:r>
      <w:r>
        <w:rPr>
          <w:bCs/>
          <w:position w:val="-12"/>
        </w:rPr>
        <w:object>
          <v:shape id="_x0000_i1035"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bCs/>
        </w:rPr>
        <w:t>=</w:t>
      </w:r>
      <w:r>
        <w:rPr>
          <w:rFonts w:hint="eastAsia"/>
          <w:bCs/>
        </w:rPr>
        <w:t>0.0</w:t>
      </w:r>
      <w:r>
        <w:rPr>
          <w:rFonts w:hint="eastAsia"/>
          <w:bCs/>
          <w:lang w:val="en-US" w:eastAsia="zh-CN"/>
        </w:rPr>
        <w:t>08</w:t>
      </w:r>
      <w:r>
        <w:rPr>
          <w:rFonts w:hint="eastAsia"/>
          <w:bCs/>
        </w:rPr>
        <w:t>%/</w:t>
      </w:r>
      <w:r>
        <w:rPr>
          <w:position w:val="-8"/>
        </w:rPr>
        <w:object>
          <v:shape id="_x0000_i1036"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hint="eastAsia"/>
          <w:bCs/>
        </w:rPr>
        <w:t>=0.0</w:t>
      </w:r>
      <w:r>
        <w:rPr>
          <w:bCs/>
        </w:rPr>
        <w:t>0</w:t>
      </w:r>
      <w:r>
        <w:rPr>
          <w:rFonts w:hint="eastAsia"/>
          <w:bCs/>
          <w:lang w:val="en-US" w:eastAsia="zh-CN"/>
        </w:rPr>
        <w:t>452</w:t>
      </w:r>
      <w:r>
        <w:rPr>
          <w:bCs/>
        </w:rPr>
        <w:t>%</w:t>
      </w:r>
    </w:p>
    <w:p w14:paraId="40AB951D">
      <w:pPr>
        <w:spacing w:line="360" w:lineRule="auto"/>
        <w:ind w:firstLine="420" w:firstLineChars="200"/>
        <w:rPr>
          <w:bCs/>
        </w:rPr>
      </w:pPr>
      <w:r>
        <w:rPr>
          <w:rFonts w:hint="eastAsia"/>
          <w:bCs/>
        </w:rPr>
        <w:t>电流</w:t>
      </w:r>
      <w:r>
        <w:rPr>
          <w:bCs/>
        </w:rPr>
        <w:t>：</w:t>
      </w:r>
      <w:r>
        <w:rPr>
          <w:bCs/>
          <w:position w:val="-12"/>
        </w:rPr>
        <w:object>
          <v:shape id="_x0000_i1037"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37" DrawAspect="Content" ObjectID="_1468075737" r:id="rId33">
            <o:LockedField>false</o:LockedField>
          </o:OLEObject>
        </w:object>
      </w:r>
      <w:r>
        <w:rPr>
          <w:bCs/>
        </w:rPr>
        <w:t>=</w:t>
      </w:r>
      <w:r>
        <w:rPr>
          <w:rFonts w:hint="eastAsia"/>
          <w:bCs/>
        </w:rPr>
        <w:t>0.0</w:t>
      </w:r>
      <w:r>
        <w:rPr>
          <w:rFonts w:hint="eastAsia"/>
          <w:bCs/>
          <w:lang w:val="en-US" w:eastAsia="zh-CN"/>
        </w:rPr>
        <w:t>06</w:t>
      </w:r>
      <w:r>
        <w:rPr>
          <w:rFonts w:hint="eastAsia"/>
          <w:bCs/>
        </w:rPr>
        <w:t>%/</w:t>
      </w:r>
      <w:r>
        <w:rPr>
          <w:position w:val="-8"/>
        </w:rPr>
        <w:object>
          <v:shape id="_x0000_i1038"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38" DrawAspect="Content" ObjectID="_1468075738" r:id="rId34">
            <o:LockedField>false</o:LockedField>
          </o:OLEObject>
        </w:object>
      </w:r>
      <w:r>
        <w:rPr>
          <w:rFonts w:hint="eastAsia"/>
          <w:bCs/>
        </w:rPr>
        <w:t>=0.0</w:t>
      </w:r>
      <w:r>
        <w:rPr>
          <w:bCs/>
        </w:rPr>
        <w:t>0</w:t>
      </w:r>
      <w:r>
        <w:rPr>
          <w:rFonts w:hint="eastAsia"/>
          <w:bCs/>
          <w:lang w:val="en-US" w:eastAsia="zh-CN"/>
        </w:rPr>
        <w:t>346</w:t>
      </w:r>
      <w:r>
        <w:rPr>
          <w:bCs/>
        </w:rPr>
        <w:t>%</w:t>
      </w:r>
    </w:p>
    <w:p w14:paraId="2D5D5E19">
      <w:pPr>
        <w:spacing w:line="360" w:lineRule="auto"/>
        <w:ind w:firstLine="420" w:firstLineChars="200"/>
        <w:rPr>
          <w:bCs/>
        </w:rPr>
      </w:pPr>
      <w:r>
        <w:rPr>
          <w:rFonts w:hint="eastAsia"/>
          <w:bCs/>
        </w:rPr>
        <w:t>功率</w:t>
      </w:r>
      <w:r>
        <w:rPr>
          <w:bCs/>
        </w:rPr>
        <w:t>：</w:t>
      </w:r>
      <w:r>
        <w:rPr>
          <w:bCs/>
          <w:position w:val="-12"/>
        </w:rPr>
        <w:object>
          <v:shape id="_x0000_i1039"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39" DrawAspect="Content" ObjectID="_1468075739" r:id="rId35">
            <o:LockedField>false</o:LockedField>
          </o:OLEObject>
        </w:object>
      </w:r>
      <w:r>
        <w:rPr>
          <w:bCs/>
        </w:rPr>
        <w:t>=</w:t>
      </w:r>
      <w:r>
        <w:rPr>
          <w:rFonts w:hint="eastAsia"/>
          <w:bCs/>
        </w:rPr>
        <w:t>0.0</w:t>
      </w:r>
      <w:r>
        <w:rPr>
          <w:rFonts w:hint="eastAsia"/>
          <w:bCs/>
          <w:lang w:val="en-US" w:eastAsia="zh-CN"/>
        </w:rPr>
        <w:t>19</w:t>
      </w:r>
      <w:r>
        <w:rPr>
          <w:rFonts w:hint="eastAsia"/>
          <w:bCs/>
        </w:rPr>
        <w:t>%/</w:t>
      </w:r>
      <w:r>
        <w:rPr>
          <w:position w:val="-8"/>
        </w:rPr>
        <w:object>
          <v:shape id="_x0000_i1040"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40" DrawAspect="Content" ObjectID="_1468075740" r:id="rId36">
            <o:LockedField>false</o:LockedField>
          </o:OLEObject>
        </w:object>
      </w:r>
      <w:r>
        <w:rPr>
          <w:rFonts w:hint="eastAsia"/>
          <w:bCs/>
        </w:rPr>
        <w:t>=0.01</w:t>
      </w:r>
      <w:r>
        <w:rPr>
          <w:bCs/>
        </w:rPr>
        <w:t>1</w:t>
      </w:r>
      <w:r>
        <w:rPr>
          <w:rFonts w:hint="eastAsia"/>
          <w:bCs/>
          <w:lang w:val="en-US" w:eastAsia="zh-CN"/>
        </w:rPr>
        <w:t>0</w:t>
      </w:r>
      <w:r>
        <w:rPr>
          <w:bCs/>
        </w:rPr>
        <w:t>%</w:t>
      </w:r>
    </w:p>
    <w:p w14:paraId="444D8BE6">
      <w:pPr>
        <w:spacing w:line="360" w:lineRule="auto"/>
        <w:ind w:firstLine="420" w:firstLineChars="200"/>
        <w:rPr>
          <w:bCs/>
        </w:rPr>
      </w:pPr>
      <w:r>
        <w:rPr>
          <w:rFonts w:hint="eastAsia"/>
          <w:bCs/>
          <w:lang w:eastAsia="zh-CN"/>
        </w:rPr>
        <w:t>相位</w:t>
      </w:r>
      <w:r>
        <w:rPr>
          <w:rFonts w:hint="eastAsia"/>
          <w:bCs/>
        </w:rPr>
        <w:t>：</w:t>
      </w:r>
      <w:r>
        <w:rPr>
          <w:bCs/>
          <w:position w:val="-12"/>
        </w:rPr>
        <w:object>
          <v:shape id="_x0000_i1041"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41" DrawAspect="Content" ObjectID="_1468075741" r:id="rId37">
            <o:LockedField>false</o:LockedField>
          </o:OLEObject>
        </w:object>
      </w:r>
      <w:r>
        <w:rPr>
          <w:bCs/>
        </w:rPr>
        <w:t>=</w:t>
      </w:r>
      <w:r>
        <w:rPr>
          <w:rFonts w:hint="eastAsia"/>
          <w:lang w:val="en-US" w:eastAsia="zh-CN"/>
        </w:rPr>
        <w:t>0.003</w:t>
      </w:r>
      <w:r>
        <w:rPr>
          <w:rFonts w:ascii="Times New Roman" w:hAnsi="Times New Roman"/>
          <w:szCs w:val="21"/>
        </w:rPr>
        <w:t>°</w:t>
      </w:r>
      <w:r>
        <w:rPr>
          <w:rFonts w:hint="eastAsia"/>
          <w:bCs/>
        </w:rPr>
        <w:t>/</w:t>
      </w:r>
      <w:r>
        <w:rPr>
          <w:position w:val="-8"/>
        </w:rPr>
        <w:object>
          <v:shape id="_x0000_i1042"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42" DrawAspect="Content" ObjectID="_1468075742" r:id="rId38">
            <o:LockedField>false</o:LockedField>
          </o:OLEObject>
        </w:object>
      </w:r>
      <w:r>
        <w:rPr>
          <w:rFonts w:hint="eastAsia"/>
          <w:bCs/>
        </w:rPr>
        <w:t>=0.0</w:t>
      </w:r>
      <w:r>
        <w:rPr>
          <w:bCs/>
        </w:rPr>
        <w:t>0</w:t>
      </w:r>
      <w:r>
        <w:rPr>
          <w:rFonts w:hint="eastAsia"/>
          <w:bCs/>
          <w:lang w:val="en-US" w:eastAsia="zh-CN"/>
        </w:rPr>
        <w:t>173</w:t>
      </w:r>
      <w:r>
        <w:rPr>
          <w:bCs/>
        </w:rPr>
        <w:t>°</w:t>
      </w:r>
    </w:p>
    <w:p w14:paraId="2798A9BB">
      <w:pPr>
        <w:spacing w:line="360" w:lineRule="auto"/>
        <w:ind w:firstLine="420" w:firstLineChars="200"/>
        <w:rPr>
          <w:rFonts w:hint="eastAsia" w:eastAsia="宋体"/>
          <w:bCs/>
          <w:lang w:eastAsia="zh-CN"/>
        </w:rPr>
      </w:pPr>
      <w:r>
        <w:rPr>
          <w:rFonts w:hint="eastAsia"/>
          <w:bCs/>
          <w:lang w:eastAsia="zh-CN"/>
        </w:rPr>
        <w:t>频率：</w:t>
      </w:r>
      <w:r>
        <w:rPr>
          <w:bCs/>
          <w:position w:val="-12"/>
        </w:rPr>
        <w:object>
          <v:shape id="_x0000_i1043"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43" DrawAspect="Content" ObjectID="_1468075743" r:id="rId39">
            <o:LockedField>false</o:LockedField>
          </o:OLEObject>
        </w:object>
      </w:r>
      <w:r>
        <w:rPr>
          <w:bCs/>
        </w:rPr>
        <w:t>=</w:t>
      </w:r>
      <w:r>
        <w:rPr>
          <w:rFonts w:hint="eastAsia"/>
          <w:bCs/>
        </w:rPr>
        <w:t>0.0</w:t>
      </w:r>
      <w:r>
        <w:rPr>
          <w:rFonts w:hint="eastAsia"/>
          <w:bCs/>
          <w:lang w:val="en-US" w:eastAsia="zh-CN"/>
        </w:rPr>
        <w:t>014</w:t>
      </w:r>
      <w:r>
        <w:rPr>
          <w:rFonts w:hint="eastAsia"/>
          <w:bCs/>
        </w:rPr>
        <w:t>%/</w:t>
      </w:r>
      <w:r>
        <w:rPr>
          <w:position w:val="-8"/>
        </w:rPr>
        <w:object>
          <v:shape id="_x0000_i1044"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44" DrawAspect="Content" ObjectID="_1468075744" r:id="rId40">
            <o:LockedField>false</o:LockedField>
          </o:OLEObject>
        </w:object>
      </w:r>
      <w:r>
        <w:rPr>
          <w:rFonts w:hint="eastAsia"/>
          <w:bCs/>
        </w:rPr>
        <w:t>=0.0</w:t>
      </w:r>
      <w:r>
        <w:rPr>
          <w:bCs/>
        </w:rPr>
        <w:t>0</w:t>
      </w:r>
      <w:r>
        <w:rPr>
          <w:rFonts w:hint="eastAsia"/>
          <w:bCs/>
          <w:lang w:val="en-US" w:eastAsia="zh-CN"/>
        </w:rPr>
        <w:t>080</w:t>
      </w:r>
      <w:r>
        <w:rPr>
          <w:bCs/>
        </w:rPr>
        <w:t>8%</w:t>
      </w:r>
    </w:p>
    <w:p w14:paraId="1AE72DEA">
      <w:pPr>
        <w:ind w:firstLine="420" w:firstLineChars="200"/>
      </w:pPr>
      <w:r>
        <w:t>3．</w:t>
      </w:r>
      <w:r>
        <w:rPr>
          <w:rFonts w:hint="eastAsia"/>
          <w:bCs/>
        </w:rPr>
        <w:t>测量结果的修约间距引入的标准不确定度分量</w:t>
      </w:r>
      <w:r>
        <w:rPr>
          <w:bCs/>
          <w:position w:val="-12"/>
        </w:rPr>
        <w:object>
          <v:shape id="_x0000_i1045" o:spt="75" type="#_x0000_t75" style="height:19.6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45" DrawAspect="Content" ObjectID="_1468075745" r:id="rId41">
            <o:LockedField>false</o:LockedField>
          </o:OLEObject>
        </w:object>
      </w:r>
    </w:p>
    <w:p w14:paraId="31D926C7">
      <w:pPr>
        <w:spacing w:line="360" w:lineRule="auto"/>
        <w:ind w:firstLine="420" w:firstLineChars="200"/>
        <w:rPr>
          <w:bCs/>
          <w:szCs w:val="21"/>
        </w:rPr>
      </w:pPr>
      <w:r>
        <w:rPr>
          <w:rFonts w:hint="eastAsia"/>
          <w:bCs/>
          <w:szCs w:val="21"/>
        </w:rPr>
        <w:t>0.</w:t>
      </w:r>
      <w:r>
        <w:rPr>
          <w:rFonts w:hint="eastAsia"/>
          <w:bCs/>
          <w:szCs w:val="21"/>
          <w:lang w:val="en-US" w:eastAsia="zh-CN"/>
        </w:rPr>
        <w:t>05</w:t>
      </w:r>
      <w:r>
        <w:rPr>
          <w:rFonts w:hint="eastAsia"/>
          <w:bCs/>
          <w:szCs w:val="21"/>
        </w:rPr>
        <w:t>级被测对象</w:t>
      </w:r>
      <w:r>
        <w:rPr>
          <w:rFonts w:hint="eastAsia"/>
          <w:bCs/>
          <w:szCs w:val="21"/>
          <w:lang w:eastAsia="zh-CN"/>
        </w:rPr>
        <w:t>在测量点电压、电流、功率修约间距为</w:t>
      </w:r>
      <w:r>
        <w:rPr>
          <w:rFonts w:hint="eastAsia"/>
          <w:bCs/>
          <w:szCs w:val="21"/>
        </w:rPr>
        <w:t>0.0</w:t>
      </w:r>
      <w:r>
        <w:rPr>
          <w:rFonts w:hint="eastAsia"/>
          <w:bCs/>
          <w:szCs w:val="21"/>
          <w:lang w:val="en-US" w:eastAsia="zh-CN"/>
        </w:rPr>
        <w:t>05</w:t>
      </w:r>
      <w:r>
        <w:rPr>
          <w:rFonts w:hint="eastAsia"/>
          <w:bCs/>
          <w:szCs w:val="21"/>
        </w:rPr>
        <w:t>%，</w:t>
      </w:r>
      <w:r>
        <w:rPr>
          <w:rFonts w:hint="eastAsia"/>
          <w:bCs/>
          <w:szCs w:val="21"/>
          <w:lang w:eastAsia="zh-CN"/>
        </w:rPr>
        <w:t>相位</w:t>
      </w:r>
      <w:r>
        <w:rPr>
          <w:rFonts w:hint="eastAsia"/>
          <w:bCs/>
          <w:szCs w:val="21"/>
        </w:rPr>
        <w:t>的修约</w:t>
      </w:r>
      <w:r>
        <w:rPr>
          <w:rFonts w:hint="eastAsia"/>
          <w:bCs/>
        </w:rPr>
        <w:t>间距</w:t>
      </w:r>
      <w:r>
        <w:rPr>
          <w:rFonts w:hint="eastAsia"/>
          <w:bCs/>
          <w:szCs w:val="21"/>
        </w:rPr>
        <w:t>为0.</w:t>
      </w:r>
      <w:r>
        <w:rPr>
          <w:bCs/>
          <w:szCs w:val="21"/>
        </w:rPr>
        <w:t>0</w:t>
      </w:r>
      <w:r>
        <w:rPr>
          <w:rFonts w:hint="eastAsia"/>
          <w:bCs/>
          <w:szCs w:val="21"/>
          <w:lang w:val="en-US" w:eastAsia="zh-CN"/>
        </w:rPr>
        <w:t>002</w:t>
      </w:r>
      <w:r>
        <w:rPr>
          <w:bCs/>
          <w:szCs w:val="21"/>
        </w:rPr>
        <w:t>°</w:t>
      </w:r>
      <w:r>
        <w:rPr>
          <w:rFonts w:hint="eastAsia"/>
          <w:bCs/>
          <w:szCs w:val="21"/>
        </w:rPr>
        <w:t>，</w:t>
      </w:r>
      <w:r>
        <w:rPr>
          <w:rFonts w:hint="eastAsia"/>
          <w:bCs/>
          <w:szCs w:val="21"/>
          <w:lang w:eastAsia="zh-CN"/>
        </w:rPr>
        <w:t>频率</w:t>
      </w:r>
      <w:r>
        <w:rPr>
          <w:rFonts w:hint="eastAsia"/>
          <w:bCs/>
          <w:szCs w:val="21"/>
        </w:rPr>
        <w:t>的修约</w:t>
      </w:r>
      <w:r>
        <w:rPr>
          <w:rFonts w:hint="eastAsia"/>
          <w:bCs/>
        </w:rPr>
        <w:t>间距</w:t>
      </w:r>
      <w:r>
        <w:rPr>
          <w:rFonts w:hint="eastAsia"/>
          <w:bCs/>
          <w:szCs w:val="21"/>
        </w:rPr>
        <w:t>为0.0</w:t>
      </w:r>
      <w:r>
        <w:rPr>
          <w:rFonts w:hint="eastAsia"/>
          <w:bCs/>
          <w:szCs w:val="21"/>
          <w:lang w:val="en-US" w:eastAsia="zh-CN"/>
        </w:rPr>
        <w:t>005Hz</w:t>
      </w:r>
      <w:r>
        <w:rPr>
          <w:rFonts w:hint="eastAsia"/>
          <w:bCs/>
          <w:szCs w:val="21"/>
        </w:rPr>
        <w:t>，由</w:t>
      </w:r>
      <w:r>
        <w:rPr>
          <w:rFonts w:hint="eastAsia"/>
          <w:bCs/>
        </w:rPr>
        <w:t>测量结果</w:t>
      </w:r>
      <w:r>
        <w:rPr>
          <w:rFonts w:hint="eastAsia"/>
          <w:bCs/>
          <w:szCs w:val="21"/>
        </w:rPr>
        <w:t>数据化整带来的不确定度不会超过化整半间距，按照均匀分布，</w:t>
      </w:r>
      <w:r>
        <w:rPr>
          <w:bCs/>
        </w:rPr>
        <w:t xml:space="preserve"> </w:t>
      </w:r>
      <w:r>
        <w:rPr>
          <w:bCs/>
          <w:position w:val="-8"/>
        </w:rPr>
        <w:object>
          <v:shape id="_x0000_i1046" o:spt="75" type="#_x0000_t75" style="height:19.6pt;width:36.85pt;" o:ole="t" filled="f" o:preferrelative="t" stroked="f" coordsize="21600,21600">
            <v:path/>
            <v:fill on="f" focussize="0,0"/>
            <v:stroke on="f" joinstyle="miter"/>
            <v:imagedata r:id="rId28" o:title=""/>
            <o:lock v:ext="edit" aspectratio="t"/>
            <w10:wrap type="none"/>
            <w10:anchorlock/>
          </v:shape>
          <o:OLEObject Type="Embed" ProgID="Equation.3" ShapeID="_x0000_i1046" DrawAspect="Content" ObjectID="_1468075746" r:id="rId43">
            <o:LockedField>false</o:LockedField>
          </o:OLEObject>
        </w:object>
      </w:r>
      <w:r>
        <w:rPr>
          <w:rFonts w:hint="eastAsia"/>
          <w:bCs/>
          <w:szCs w:val="21"/>
        </w:rPr>
        <w:t>，计算得到</w:t>
      </w:r>
      <w:r>
        <w:rPr>
          <w:rFonts w:hint="eastAsia"/>
          <w:bCs/>
        </w:rPr>
        <w:t>测量结果的</w:t>
      </w:r>
      <w:r>
        <w:rPr>
          <w:rFonts w:hint="eastAsia"/>
          <w:bCs/>
          <w:szCs w:val="21"/>
        </w:rPr>
        <w:t>修约间距引入的标准不确定度分量：</w:t>
      </w:r>
    </w:p>
    <w:p w14:paraId="16A23799">
      <w:pPr>
        <w:spacing w:line="360" w:lineRule="auto"/>
        <w:ind w:firstLine="420" w:firstLineChars="200"/>
        <w:rPr>
          <w:bCs/>
        </w:rPr>
      </w:pPr>
      <w:r>
        <w:rPr>
          <w:rFonts w:hint="eastAsia"/>
          <w:bCs/>
        </w:rPr>
        <w:t>电压</w:t>
      </w:r>
      <w:r>
        <w:rPr>
          <w:rFonts w:hint="eastAsia"/>
          <w:bCs/>
          <w:lang w:eastAsia="zh-CN"/>
        </w:rPr>
        <w:t>、电流、功率</w:t>
      </w:r>
      <w:r>
        <w:rPr>
          <w:bCs/>
        </w:rPr>
        <w:t>：</w:t>
      </w:r>
      <w:r>
        <w:rPr>
          <w:bCs/>
          <w:position w:val="-12"/>
        </w:rPr>
        <w:object>
          <v:shape id="_x0000_i1047" o:spt="75" type="#_x0000_t75" style="height:19.6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47" DrawAspect="Content" ObjectID="_1468075747" r:id="rId44">
            <o:LockedField>false</o:LockedField>
          </o:OLEObject>
        </w:object>
      </w:r>
      <w:r>
        <w:rPr>
          <w:bCs/>
        </w:rPr>
        <w:t>=</w:t>
      </w:r>
      <w:r>
        <w:rPr>
          <w:rFonts w:hint="eastAsia"/>
          <w:bCs/>
        </w:rPr>
        <w:t>0.0</w:t>
      </w:r>
      <w:r>
        <w:rPr>
          <w:bCs/>
        </w:rPr>
        <w:t>0</w:t>
      </w:r>
      <w:r>
        <w:rPr>
          <w:rFonts w:hint="eastAsia"/>
          <w:bCs/>
          <w:lang w:val="en-US" w:eastAsia="zh-CN"/>
        </w:rPr>
        <w:t>2</w:t>
      </w:r>
      <w:r>
        <w:rPr>
          <w:bCs/>
        </w:rPr>
        <w:t>5</w:t>
      </w:r>
      <w:r>
        <w:rPr>
          <w:rFonts w:hint="eastAsia"/>
          <w:bCs/>
        </w:rPr>
        <w:t>/</w:t>
      </w:r>
      <w:r>
        <w:rPr>
          <w:position w:val="-8"/>
        </w:rPr>
        <w:object>
          <v:shape id="_x0000_i1048"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48" DrawAspect="Content" ObjectID="_1468075748" r:id="rId45">
            <o:LockedField>false</o:LockedField>
          </o:OLEObject>
        </w:object>
      </w:r>
      <w:r>
        <w:rPr>
          <w:rFonts w:hint="eastAsia"/>
          <w:bCs/>
        </w:rPr>
        <w:t>=</w:t>
      </w:r>
      <w:r>
        <w:rPr>
          <w:bCs/>
        </w:rPr>
        <w:t>0.00</w:t>
      </w:r>
      <w:r>
        <w:rPr>
          <w:rFonts w:hint="eastAsia"/>
          <w:bCs/>
          <w:lang w:val="en-US" w:eastAsia="zh-CN"/>
        </w:rPr>
        <w:t>144</w:t>
      </w:r>
      <w:r>
        <w:rPr>
          <w:bCs/>
        </w:rPr>
        <w:t xml:space="preserve">% </w:t>
      </w:r>
    </w:p>
    <w:p w14:paraId="3341D3CA">
      <w:pPr>
        <w:spacing w:line="360" w:lineRule="auto"/>
        <w:ind w:firstLine="420" w:firstLineChars="200"/>
        <w:rPr>
          <w:bCs/>
        </w:rPr>
      </w:pPr>
      <w:r>
        <w:rPr>
          <w:rFonts w:hint="eastAsia"/>
          <w:bCs/>
          <w:lang w:eastAsia="zh-CN"/>
        </w:rPr>
        <w:t>相位</w:t>
      </w:r>
      <w:r>
        <w:rPr>
          <w:bCs/>
        </w:rPr>
        <w:t>：</w:t>
      </w:r>
      <w:r>
        <w:rPr>
          <w:bCs/>
          <w:position w:val="-12"/>
        </w:rPr>
        <w:object>
          <v:shape id="_x0000_i1049" o:spt="75" type="#_x0000_t75" style="height:19.6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49" DrawAspect="Content" ObjectID="_1468075749" r:id="rId46">
            <o:LockedField>false</o:LockedField>
          </o:OLEObject>
        </w:object>
      </w:r>
      <w:r>
        <w:rPr>
          <w:bCs/>
        </w:rPr>
        <w:t>=0.00</w:t>
      </w:r>
      <w:r>
        <w:rPr>
          <w:rFonts w:hint="eastAsia"/>
          <w:bCs/>
          <w:lang w:val="en-US" w:eastAsia="zh-CN"/>
        </w:rPr>
        <w:t>01</w:t>
      </w:r>
      <w:r>
        <w:rPr>
          <w:rFonts w:hint="eastAsia"/>
          <w:bCs/>
        </w:rPr>
        <w:t>°/</w:t>
      </w:r>
      <w:r>
        <w:rPr>
          <w:position w:val="-8"/>
        </w:rPr>
        <w:object>
          <v:shape id="_x0000_i1050"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50" DrawAspect="Content" ObjectID="_1468075750" r:id="rId47">
            <o:LockedField>false</o:LockedField>
          </o:OLEObject>
        </w:object>
      </w:r>
      <w:r>
        <w:rPr>
          <w:rFonts w:hint="eastAsia"/>
          <w:bCs/>
        </w:rPr>
        <w:t>=</w:t>
      </w:r>
      <w:r>
        <w:rPr>
          <w:bCs/>
        </w:rPr>
        <w:t>0.00</w:t>
      </w:r>
      <w:r>
        <w:rPr>
          <w:rFonts w:hint="eastAsia"/>
          <w:bCs/>
          <w:lang w:val="en-US" w:eastAsia="zh-CN"/>
        </w:rPr>
        <w:t>00577</w:t>
      </w:r>
      <w:r>
        <w:rPr>
          <w:rFonts w:hint="eastAsia"/>
          <w:bCs/>
        </w:rPr>
        <w:t>°</w:t>
      </w:r>
      <w:r>
        <w:rPr>
          <w:bCs/>
        </w:rPr>
        <w:t xml:space="preserve"> </w:t>
      </w:r>
    </w:p>
    <w:p w14:paraId="19B089AE">
      <w:pPr>
        <w:spacing w:line="360" w:lineRule="auto"/>
        <w:ind w:firstLine="420" w:firstLineChars="200"/>
        <w:rPr>
          <w:rFonts w:hint="eastAsia"/>
          <w:bCs/>
          <w:szCs w:val="21"/>
          <w:lang w:val="en-US" w:eastAsia="zh-CN"/>
        </w:rPr>
      </w:pPr>
      <w:r>
        <w:rPr>
          <w:rFonts w:hint="eastAsia"/>
          <w:bCs/>
          <w:lang w:eastAsia="zh-CN"/>
        </w:rPr>
        <w:t>频</w:t>
      </w:r>
      <w:r>
        <w:rPr>
          <w:rFonts w:hint="eastAsia"/>
          <w:bCs/>
        </w:rPr>
        <w:t>率</w:t>
      </w:r>
      <w:r>
        <w:rPr>
          <w:bCs/>
        </w:rPr>
        <w:t>：</w:t>
      </w:r>
      <w:r>
        <w:rPr>
          <w:bCs/>
          <w:position w:val="-12"/>
        </w:rPr>
        <w:object>
          <v:shape id="_x0000_i1051" o:spt="75" type="#_x0000_t75" style="height:19.6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51" DrawAspect="Content" ObjectID="_1468075751" r:id="rId48">
            <o:LockedField>false</o:LockedField>
          </o:OLEObject>
        </w:object>
      </w:r>
      <w:r>
        <w:rPr>
          <w:bCs/>
        </w:rPr>
        <w:t>=</w:t>
      </w:r>
      <w:r>
        <w:rPr>
          <w:rFonts w:hint="eastAsia"/>
          <w:bCs/>
        </w:rPr>
        <w:t>0.0</w:t>
      </w:r>
      <w:r>
        <w:rPr>
          <w:bCs/>
        </w:rPr>
        <w:t>0</w:t>
      </w:r>
      <w:r>
        <w:rPr>
          <w:rFonts w:hint="eastAsia"/>
          <w:bCs/>
          <w:lang w:val="en-US" w:eastAsia="zh-CN"/>
        </w:rPr>
        <w:t>02</w:t>
      </w:r>
      <w:r>
        <w:rPr>
          <w:bCs/>
        </w:rPr>
        <w:t>5</w:t>
      </w:r>
      <w:r>
        <w:rPr>
          <w:rFonts w:hint="eastAsia"/>
          <w:bCs/>
          <w:szCs w:val="21"/>
          <w:lang w:val="en-US" w:eastAsia="zh-CN"/>
        </w:rPr>
        <w:t>Hz</w:t>
      </w:r>
      <w:r>
        <w:rPr>
          <w:rFonts w:hint="eastAsia"/>
          <w:bCs/>
        </w:rPr>
        <w:t>/</w:t>
      </w:r>
      <w:r>
        <w:rPr>
          <w:position w:val="-8"/>
        </w:rPr>
        <w:object>
          <v:shape id="_x0000_i1052"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52" DrawAspect="Content" ObjectID="_1468075752" r:id="rId49">
            <o:LockedField>false</o:LockedField>
          </o:OLEObject>
        </w:object>
      </w:r>
      <w:r>
        <w:rPr>
          <w:rFonts w:hint="eastAsia"/>
          <w:bCs/>
        </w:rPr>
        <w:t>=0.0</w:t>
      </w:r>
      <w:r>
        <w:rPr>
          <w:bCs/>
        </w:rPr>
        <w:t>0</w:t>
      </w:r>
      <w:r>
        <w:rPr>
          <w:rFonts w:hint="eastAsia"/>
          <w:bCs/>
          <w:lang w:val="en-US" w:eastAsia="zh-CN"/>
        </w:rPr>
        <w:t>0144</w:t>
      </w:r>
      <w:r>
        <w:rPr>
          <w:rFonts w:hint="eastAsia"/>
          <w:bCs/>
          <w:szCs w:val="21"/>
          <w:lang w:val="en-US" w:eastAsia="zh-CN"/>
        </w:rPr>
        <w:t>Hz</w:t>
      </w:r>
    </w:p>
    <w:p w14:paraId="70DD768E">
      <w:pPr>
        <w:spacing w:before="156" w:beforeLines="50" w:after="240"/>
        <w:ind w:firstLine="435"/>
      </w:pPr>
      <w:r>
        <w:rPr>
          <w:bCs/>
        </w:rPr>
        <w:t>4．</w:t>
      </w:r>
      <w:r>
        <w:rPr>
          <w:rFonts w:hint="eastAsia"/>
          <w:bCs/>
        </w:rPr>
        <w:t>标准不确定度分量汇总</w:t>
      </w:r>
      <w:r>
        <w:t xml:space="preserve">              </w:t>
      </w:r>
    </w:p>
    <w:p w14:paraId="7B1A2316">
      <w:pPr>
        <w:spacing w:before="156" w:beforeLines="50"/>
        <w:ind w:firstLine="315" w:firstLineChars="150"/>
        <w:jc w:val="center"/>
        <w:rPr>
          <w:szCs w:val="21"/>
        </w:rPr>
      </w:pPr>
      <w:r>
        <w:rPr>
          <w:szCs w:val="21"/>
        </w:rPr>
        <w:t>表</w:t>
      </w:r>
      <w:r>
        <w:rPr>
          <w:rFonts w:hint="eastAsia"/>
          <w:szCs w:val="21"/>
        </w:rPr>
        <w:t>3</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4"/>
        <w:gridCol w:w="2464"/>
      </w:tblGrid>
      <w:tr w14:paraId="5D2EC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49" w:type="pct"/>
            <w:vAlign w:val="center"/>
          </w:tcPr>
          <w:p w14:paraId="34C10CC9">
            <w:pPr>
              <w:adjustRightInd w:val="0"/>
              <w:snapToGrid w:val="0"/>
              <w:jc w:val="center"/>
            </w:pPr>
            <w:r>
              <w:rPr>
                <w:szCs w:val="21"/>
              </w:rPr>
              <w:t>标准不确定度</w:t>
            </w:r>
            <w:r>
              <w:rPr>
                <w:rFonts w:hint="eastAsia"/>
                <w:szCs w:val="21"/>
              </w:rPr>
              <w:t>分量</w:t>
            </w:r>
          </w:p>
        </w:tc>
        <w:tc>
          <w:tcPr>
            <w:tcW w:w="1249" w:type="pct"/>
            <w:vAlign w:val="center"/>
          </w:tcPr>
          <w:p w14:paraId="6D14565B">
            <w:pPr>
              <w:adjustRightInd w:val="0"/>
              <w:snapToGrid w:val="0"/>
              <w:jc w:val="center"/>
            </w:pPr>
            <w:r>
              <w:rPr>
                <w:rFonts w:hint="eastAsia"/>
              </w:rPr>
              <w:t>不确定度来源</w:t>
            </w:r>
          </w:p>
        </w:tc>
        <w:tc>
          <w:tcPr>
            <w:tcW w:w="1250" w:type="pct"/>
            <w:vAlign w:val="center"/>
          </w:tcPr>
          <w:p w14:paraId="4041CB02">
            <w:pPr>
              <w:adjustRightInd w:val="0"/>
              <w:snapToGrid w:val="0"/>
              <w:jc w:val="center"/>
              <w:rPr>
                <w:bCs/>
                <w:szCs w:val="21"/>
              </w:rPr>
            </w:pPr>
            <w:r>
              <w:rPr>
                <w:rFonts w:hint="eastAsia"/>
                <w:bCs/>
                <w:szCs w:val="21"/>
              </w:rPr>
              <w:t>参数</w:t>
            </w:r>
          </w:p>
        </w:tc>
        <w:tc>
          <w:tcPr>
            <w:tcW w:w="1250" w:type="pct"/>
            <w:vAlign w:val="center"/>
          </w:tcPr>
          <w:p w14:paraId="3715DF92">
            <w:pPr>
              <w:adjustRightInd w:val="0"/>
              <w:snapToGrid w:val="0"/>
              <w:jc w:val="center"/>
              <w:rPr>
                <w:bCs/>
                <w:szCs w:val="21"/>
              </w:rPr>
            </w:pPr>
            <w:r>
              <w:rPr>
                <w:rFonts w:hint="eastAsia"/>
                <w:bCs/>
                <w:szCs w:val="21"/>
              </w:rPr>
              <w:t>标准</w:t>
            </w:r>
            <w:r>
              <w:rPr>
                <w:bCs/>
                <w:szCs w:val="21"/>
              </w:rPr>
              <w:t>不确定度分量</w:t>
            </w:r>
          </w:p>
        </w:tc>
      </w:tr>
      <w:tr w14:paraId="315816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restart"/>
            <w:vAlign w:val="center"/>
          </w:tcPr>
          <w:p w14:paraId="66AFC177">
            <w:pPr>
              <w:adjustRightInd w:val="0"/>
              <w:snapToGrid w:val="0"/>
              <w:jc w:val="center"/>
            </w:pPr>
            <w:r>
              <w:rPr>
                <w:i/>
                <w:szCs w:val="21"/>
              </w:rPr>
              <w:t>u</w:t>
            </w:r>
            <w:r>
              <w:rPr>
                <w:rFonts w:hint="eastAsia"/>
                <w:szCs w:val="21"/>
                <w:vertAlign w:val="subscript"/>
              </w:rPr>
              <w:t>1</w:t>
            </w:r>
          </w:p>
        </w:tc>
        <w:tc>
          <w:tcPr>
            <w:tcW w:w="1249" w:type="pct"/>
            <w:vMerge w:val="restart"/>
            <w:vAlign w:val="center"/>
          </w:tcPr>
          <w:p w14:paraId="7F9DEF35">
            <w:pPr>
              <w:adjustRightInd w:val="0"/>
              <w:snapToGrid w:val="0"/>
              <w:jc w:val="center"/>
            </w:pPr>
            <w:r>
              <w:rPr>
                <w:rFonts w:hint="eastAsia"/>
                <w:bCs/>
              </w:rPr>
              <w:t>测量重复性</w:t>
            </w:r>
          </w:p>
        </w:tc>
        <w:tc>
          <w:tcPr>
            <w:tcW w:w="2464" w:type="dxa"/>
            <w:vAlign w:val="center"/>
          </w:tcPr>
          <w:p w14:paraId="68EEC38E">
            <w:pPr>
              <w:spacing w:line="288" w:lineRule="auto"/>
              <w:jc w:val="center"/>
              <w:rPr>
                <w:szCs w:val="21"/>
              </w:rPr>
            </w:pPr>
            <w:r>
              <w:rPr>
                <w:rFonts w:hint="eastAsia"/>
                <w:sz w:val="20"/>
                <w:szCs w:val="21"/>
              </w:rPr>
              <w:t>电压（</w:t>
            </w:r>
            <w:r>
              <w:rPr>
                <w:rStyle w:val="16"/>
                <w:rFonts w:eastAsia="宋体"/>
                <w:lang w:val="en-US" w:eastAsia="zh-CN" w:bidi="ar"/>
              </w:rPr>
              <w:t>V</w:t>
            </w:r>
            <w:r>
              <w:rPr>
                <w:rFonts w:hint="eastAsia"/>
                <w:sz w:val="20"/>
                <w:szCs w:val="21"/>
              </w:rPr>
              <w:t>）</w:t>
            </w:r>
          </w:p>
        </w:tc>
        <w:tc>
          <w:tcPr>
            <w:tcW w:w="2464" w:type="dxa"/>
            <w:vAlign w:val="center"/>
          </w:tcPr>
          <w:p w14:paraId="2AD10FCE">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00692</w:t>
            </w:r>
          </w:p>
        </w:tc>
      </w:tr>
      <w:tr w14:paraId="10C174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3609783E">
            <w:pPr>
              <w:adjustRightInd w:val="0"/>
              <w:snapToGrid w:val="0"/>
              <w:jc w:val="center"/>
              <w:rPr>
                <w:i/>
                <w:szCs w:val="21"/>
              </w:rPr>
            </w:pPr>
          </w:p>
        </w:tc>
        <w:tc>
          <w:tcPr>
            <w:tcW w:w="1249" w:type="pct"/>
            <w:vMerge w:val="continue"/>
            <w:vAlign w:val="center"/>
          </w:tcPr>
          <w:p w14:paraId="2456B193">
            <w:pPr>
              <w:adjustRightInd w:val="0"/>
              <w:snapToGrid w:val="0"/>
              <w:jc w:val="center"/>
              <w:rPr>
                <w:bCs/>
              </w:rPr>
            </w:pPr>
          </w:p>
        </w:tc>
        <w:tc>
          <w:tcPr>
            <w:tcW w:w="2464" w:type="dxa"/>
            <w:vAlign w:val="center"/>
          </w:tcPr>
          <w:p w14:paraId="2CE72015">
            <w:pPr>
              <w:spacing w:line="288" w:lineRule="auto"/>
              <w:jc w:val="center"/>
              <w:rPr>
                <w:szCs w:val="21"/>
              </w:rPr>
            </w:pPr>
            <w:r>
              <w:rPr>
                <w:rFonts w:hint="eastAsia"/>
                <w:sz w:val="20"/>
                <w:szCs w:val="21"/>
              </w:rPr>
              <w:t>电流（</w:t>
            </w:r>
            <w:r>
              <w:rPr>
                <w:rStyle w:val="16"/>
                <w:rFonts w:eastAsia="宋体"/>
                <w:lang w:val="en-US" w:eastAsia="zh-CN" w:bidi="ar"/>
              </w:rPr>
              <w:t>A</w:t>
            </w:r>
            <w:r>
              <w:rPr>
                <w:rFonts w:hint="eastAsia"/>
                <w:sz w:val="20"/>
                <w:szCs w:val="21"/>
              </w:rPr>
              <w:t>）</w:t>
            </w:r>
          </w:p>
        </w:tc>
        <w:tc>
          <w:tcPr>
            <w:tcW w:w="2464" w:type="dxa"/>
            <w:vAlign w:val="center"/>
          </w:tcPr>
          <w:p w14:paraId="39C68AA3">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0.0000545</w:t>
            </w:r>
          </w:p>
        </w:tc>
      </w:tr>
      <w:tr w14:paraId="029970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68945C7C">
            <w:pPr>
              <w:adjustRightInd w:val="0"/>
              <w:snapToGrid w:val="0"/>
              <w:jc w:val="center"/>
              <w:rPr>
                <w:i/>
                <w:szCs w:val="21"/>
              </w:rPr>
            </w:pPr>
          </w:p>
        </w:tc>
        <w:tc>
          <w:tcPr>
            <w:tcW w:w="1249" w:type="pct"/>
            <w:vMerge w:val="continue"/>
            <w:vAlign w:val="center"/>
          </w:tcPr>
          <w:p w14:paraId="1EAD0094">
            <w:pPr>
              <w:adjustRightInd w:val="0"/>
              <w:snapToGrid w:val="0"/>
              <w:jc w:val="center"/>
              <w:rPr>
                <w:bCs/>
              </w:rPr>
            </w:pPr>
          </w:p>
        </w:tc>
        <w:tc>
          <w:tcPr>
            <w:tcW w:w="2464" w:type="dxa"/>
            <w:vAlign w:val="center"/>
          </w:tcPr>
          <w:p w14:paraId="6DFBE715">
            <w:pPr>
              <w:spacing w:line="288" w:lineRule="auto"/>
              <w:jc w:val="center"/>
              <w:rPr>
                <w:szCs w:val="21"/>
              </w:rPr>
            </w:pPr>
            <w:r>
              <w:rPr>
                <w:rFonts w:hint="eastAsia"/>
                <w:sz w:val="20"/>
                <w:szCs w:val="21"/>
              </w:rPr>
              <w:t>功率（</w:t>
            </w:r>
            <w:r>
              <w:rPr>
                <w:rFonts w:hint="eastAsia"/>
                <w:sz w:val="20"/>
                <w:szCs w:val="21"/>
                <w:lang w:val="en-US" w:eastAsia="zh-CN"/>
              </w:rPr>
              <w:t>k</w:t>
            </w:r>
            <w:r>
              <w:rPr>
                <w:sz w:val="20"/>
                <w:szCs w:val="21"/>
              </w:rPr>
              <w:t>W</w:t>
            </w:r>
            <w:r>
              <w:rPr>
                <w:rFonts w:hint="eastAsia"/>
                <w:sz w:val="20"/>
                <w:szCs w:val="21"/>
              </w:rPr>
              <w:t>）</w:t>
            </w:r>
          </w:p>
        </w:tc>
        <w:tc>
          <w:tcPr>
            <w:tcW w:w="2464" w:type="dxa"/>
            <w:vAlign w:val="center"/>
          </w:tcPr>
          <w:p w14:paraId="73DD0F1B">
            <w:pPr>
              <w:adjustRightInd w:val="0"/>
              <w:snapToGrid w:val="0"/>
              <w:jc w:val="center"/>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0.0000</w:t>
            </w:r>
            <w:r>
              <w:rPr>
                <w:rFonts w:hint="eastAsia" w:cs="Times New Roman"/>
                <w:sz w:val="21"/>
                <w:szCs w:val="21"/>
                <w:lang w:val="en-US" w:eastAsia="zh-CN"/>
              </w:rPr>
              <w:t>4</w:t>
            </w:r>
            <w:r>
              <w:rPr>
                <w:rFonts w:hint="default" w:ascii="Times New Roman" w:hAnsi="Times New Roman" w:cs="Times New Roman"/>
                <w:sz w:val="21"/>
                <w:szCs w:val="21"/>
                <w:lang w:val="en-US" w:eastAsia="zh-CN"/>
              </w:rPr>
              <w:t>6</w:t>
            </w:r>
            <w:r>
              <w:rPr>
                <w:rFonts w:hint="eastAsia" w:cs="Times New Roman"/>
                <w:sz w:val="21"/>
                <w:szCs w:val="21"/>
                <w:lang w:val="en-US" w:eastAsia="zh-CN"/>
              </w:rPr>
              <w:t>7</w:t>
            </w:r>
          </w:p>
        </w:tc>
      </w:tr>
      <w:tr w14:paraId="26E10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1233DD9D">
            <w:pPr>
              <w:adjustRightInd w:val="0"/>
              <w:snapToGrid w:val="0"/>
              <w:jc w:val="center"/>
              <w:rPr>
                <w:i/>
                <w:szCs w:val="21"/>
              </w:rPr>
            </w:pPr>
          </w:p>
        </w:tc>
        <w:tc>
          <w:tcPr>
            <w:tcW w:w="1249" w:type="pct"/>
            <w:vMerge w:val="continue"/>
            <w:vAlign w:val="center"/>
          </w:tcPr>
          <w:p w14:paraId="413B1F2E">
            <w:pPr>
              <w:adjustRightInd w:val="0"/>
              <w:snapToGrid w:val="0"/>
              <w:jc w:val="center"/>
              <w:rPr>
                <w:bCs/>
              </w:rPr>
            </w:pPr>
          </w:p>
        </w:tc>
        <w:tc>
          <w:tcPr>
            <w:tcW w:w="2464" w:type="dxa"/>
            <w:vAlign w:val="center"/>
          </w:tcPr>
          <w:p w14:paraId="3394B7CA">
            <w:pPr>
              <w:spacing w:line="288" w:lineRule="auto"/>
              <w:jc w:val="center"/>
              <w:rPr>
                <w:szCs w:val="21"/>
              </w:rPr>
            </w:pPr>
            <w:r>
              <w:rPr>
                <w:rFonts w:hint="eastAsia"/>
                <w:sz w:val="20"/>
                <w:szCs w:val="21"/>
                <w:lang w:eastAsia="zh-CN"/>
              </w:rPr>
              <w:t>频率</w:t>
            </w:r>
            <w:r>
              <w:rPr>
                <w:rFonts w:hint="eastAsia"/>
                <w:sz w:val="20"/>
                <w:szCs w:val="21"/>
              </w:rPr>
              <w:t>（</w:t>
            </w:r>
            <w:r>
              <w:rPr>
                <w:rFonts w:hint="eastAsia"/>
                <w:sz w:val="20"/>
                <w:szCs w:val="21"/>
                <w:lang w:val="en-US" w:eastAsia="zh-CN"/>
              </w:rPr>
              <w:t>Hz</w:t>
            </w:r>
            <w:r>
              <w:rPr>
                <w:rFonts w:hint="eastAsia"/>
                <w:sz w:val="20"/>
                <w:szCs w:val="21"/>
              </w:rPr>
              <w:t>）</w:t>
            </w:r>
          </w:p>
        </w:tc>
        <w:tc>
          <w:tcPr>
            <w:tcW w:w="2464" w:type="dxa"/>
            <w:vAlign w:val="center"/>
          </w:tcPr>
          <w:p w14:paraId="066B7643">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0.000000</w:t>
            </w:r>
          </w:p>
        </w:tc>
      </w:tr>
      <w:tr w14:paraId="4AF44D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75C0EB88">
            <w:pPr>
              <w:adjustRightInd w:val="0"/>
              <w:snapToGrid w:val="0"/>
              <w:jc w:val="center"/>
              <w:rPr>
                <w:i/>
                <w:szCs w:val="21"/>
              </w:rPr>
            </w:pPr>
          </w:p>
        </w:tc>
        <w:tc>
          <w:tcPr>
            <w:tcW w:w="1249" w:type="pct"/>
            <w:vMerge w:val="continue"/>
            <w:vAlign w:val="center"/>
          </w:tcPr>
          <w:p w14:paraId="5E5BA2F8">
            <w:pPr>
              <w:adjustRightInd w:val="0"/>
              <w:snapToGrid w:val="0"/>
              <w:jc w:val="center"/>
              <w:rPr>
                <w:bCs/>
              </w:rPr>
            </w:pPr>
          </w:p>
        </w:tc>
        <w:tc>
          <w:tcPr>
            <w:tcW w:w="2464" w:type="dxa"/>
            <w:vAlign w:val="center"/>
          </w:tcPr>
          <w:p w14:paraId="7C87E6FF">
            <w:pPr>
              <w:spacing w:line="288" w:lineRule="auto"/>
              <w:jc w:val="center"/>
              <w:rPr>
                <w:szCs w:val="21"/>
              </w:rPr>
            </w:pPr>
            <w:r>
              <w:rPr>
                <w:rFonts w:hint="eastAsia"/>
                <w:sz w:val="20"/>
                <w:szCs w:val="21"/>
                <w:lang w:eastAsia="zh-CN"/>
              </w:rPr>
              <w:t>相位</w:t>
            </w:r>
            <w:r>
              <w:rPr>
                <w:rFonts w:hint="eastAsia"/>
                <w:sz w:val="20"/>
                <w:szCs w:val="21"/>
              </w:rPr>
              <w:t>（</w:t>
            </w:r>
            <w:r>
              <w:rPr>
                <w:sz w:val="20"/>
                <w:szCs w:val="21"/>
              </w:rPr>
              <w:t>°</w:t>
            </w:r>
            <w:r>
              <w:rPr>
                <w:rFonts w:hint="eastAsia"/>
                <w:sz w:val="20"/>
                <w:szCs w:val="21"/>
              </w:rPr>
              <w:t>）</w:t>
            </w:r>
          </w:p>
        </w:tc>
        <w:tc>
          <w:tcPr>
            <w:tcW w:w="2464" w:type="dxa"/>
            <w:vAlign w:val="center"/>
          </w:tcPr>
          <w:p w14:paraId="04B5BBDA">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0.000781</w:t>
            </w:r>
          </w:p>
        </w:tc>
      </w:tr>
      <w:tr w14:paraId="11FF0B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restart"/>
            <w:vAlign w:val="center"/>
          </w:tcPr>
          <w:p w14:paraId="1B742158">
            <w:pPr>
              <w:adjustRightInd w:val="0"/>
              <w:snapToGrid w:val="0"/>
              <w:jc w:val="center"/>
            </w:pPr>
            <w:r>
              <w:rPr>
                <w:i/>
                <w:szCs w:val="21"/>
              </w:rPr>
              <w:t>u</w:t>
            </w:r>
            <w:r>
              <w:rPr>
                <w:szCs w:val="21"/>
                <w:vertAlign w:val="subscript"/>
              </w:rPr>
              <w:t>2</w:t>
            </w:r>
          </w:p>
        </w:tc>
        <w:tc>
          <w:tcPr>
            <w:tcW w:w="1249" w:type="pct"/>
            <w:vMerge w:val="restart"/>
            <w:vAlign w:val="center"/>
          </w:tcPr>
          <w:p w14:paraId="512FFCFE">
            <w:pPr>
              <w:adjustRightInd w:val="0"/>
              <w:snapToGrid w:val="0"/>
              <w:jc w:val="center"/>
            </w:pPr>
            <w:r>
              <w:rPr>
                <w:bCs/>
              </w:rPr>
              <w:t>测量标准的</w:t>
            </w:r>
            <w:r>
              <w:rPr>
                <w:rFonts w:hint="eastAsia"/>
                <w:bCs/>
              </w:rPr>
              <w:t>误差</w:t>
            </w:r>
          </w:p>
        </w:tc>
        <w:tc>
          <w:tcPr>
            <w:tcW w:w="2464" w:type="dxa"/>
            <w:vAlign w:val="center"/>
          </w:tcPr>
          <w:p w14:paraId="390975D0">
            <w:pPr>
              <w:spacing w:line="288" w:lineRule="auto"/>
              <w:jc w:val="center"/>
              <w:rPr>
                <w:szCs w:val="21"/>
              </w:rPr>
            </w:pPr>
            <w:r>
              <w:rPr>
                <w:rFonts w:hint="eastAsia"/>
                <w:sz w:val="20"/>
                <w:szCs w:val="21"/>
              </w:rPr>
              <w:t>电压</w:t>
            </w:r>
          </w:p>
        </w:tc>
        <w:tc>
          <w:tcPr>
            <w:tcW w:w="1250" w:type="pct"/>
            <w:vAlign w:val="center"/>
          </w:tcPr>
          <w:p w14:paraId="3AF988BA">
            <w:pPr>
              <w:adjustRightInd w:val="0"/>
              <w:snapToGrid w:val="0"/>
              <w:jc w:val="center"/>
              <w:rPr>
                <w:rFonts w:hint="default" w:ascii="Times New Roman" w:hAnsi="Times New Roman" w:cs="Times New Roman"/>
                <w:sz w:val="21"/>
                <w:szCs w:val="21"/>
              </w:rP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452</w:t>
            </w:r>
            <w:r>
              <w:rPr>
                <w:rFonts w:hint="default" w:ascii="Times New Roman" w:hAnsi="Times New Roman" w:cs="Times New Roman"/>
                <w:bCs/>
                <w:sz w:val="21"/>
                <w:szCs w:val="21"/>
              </w:rPr>
              <w:t>%</w:t>
            </w:r>
          </w:p>
        </w:tc>
      </w:tr>
      <w:tr w14:paraId="0AE99A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4DD4BDB2">
            <w:pPr>
              <w:adjustRightInd w:val="0"/>
              <w:snapToGrid w:val="0"/>
              <w:jc w:val="center"/>
              <w:rPr>
                <w:i/>
                <w:szCs w:val="21"/>
              </w:rPr>
            </w:pPr>
          </w:p>
        </w:tc>
        <w:tc>
          <w:tcPr>
            <w:tcW w:w="1249" w:type="pct"/>
            <w:vMerge w:val="continue"/>
            <w:vAlign w:val="center"/>
          </w:tcPr>
          <w:p w14:paraId="757E3EC9">
            <w:pPr>
              <w:adjustRightInd w:val="0"/>
              <w:snapToGrid w:val="0"/>
              <w:jc w:val="center"/>
              <w:rPr>
                <w:bCs/>
              </w:rPr>
            </w:pPr>
          </w:p>
        </w:tc>
        <w:tc>
          <w:tcPr>
            <w:tcW w:w="2464" w:type="dxa"/>
            <w:vAlign w:val="center"/>
          </w:tcPr>
          <w:p w14:paraId="073B9F28">
            <w:pPr>
              <w:spacing w:line="288" w:lineRule="auto"/>
              <w:jc w:val="center"/>
              <w:rPr>
                <w:szCs w:val="21"/>
              </w:rPr>
            </w:pPr>
            <w:r>
              <w:rPr>
                <w:rFonts w:hint="eastAsia"/>
                <w:sz w:val="20"/>
                <w:szCs w:val="21"/>
              </w:rPr>
              <w:t>电流</w:t>
            </w:r>
          </w:p>
        </w:tc>
        <w:tc>
          <w:tcPr>
            <w:tcW w:w="1250" w:type="pct"/>
            <w:vAlign w:val="center"/>
          </w:tcPr>
          <w:p w14:paraId="2C22E47E">
            <w:pPr>
              <w:spacing w:line="36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346</w:t>
            </w:r>
            <w:r>
              <w:rPr>
                <w:rFonts w:hint="default" w:ascii="Times New Roman" w:hAnsi="Times New Roman" w:cs="Times New Roman"/>
                <w:bCs/>
                <w:sz w:val="21"/>
                <w:szCs w:val="21"/>
              </w:rPr>
              <w:t>%</w:t>
            </w:r>
          </w:p>
          <w:p w14:paraId="06A68355">
            <w:pPr>
              <w:adjustRightInd w:val="0"/>
              <w:snapToGrid w:val="0"/>
              <w:jc w:val="center"/>
              <w:rPr>
                <w:rFonts w:hint="default" w:ascii="Times New Roman" w:hAnsi="Times New Roman" w:cs="Times New Roman"/>
                <w:sz w:val="21"/>
                <w:szCs w:val="21"/>
              </w:rPr>
            </w:pPr>
          </w:p>
        </w:tc>
      </w:tr>
      <w:tr w14:paraId="347C4A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7C0A92CF">
            <w:pPr>
              <w:adjustRightInd w:val="0"/>
              <w:snapToGrid w:val="0"/>
              <w:jc w:val="center"/>
              <w:rPr>
                <w:i/>
                <w:szCs w:val="21"/>
              </w:rPr>
            </w:pPr>
          </w:p>
        </w:tc>
        <w:tc>
          <w:tcPr>
            <w:tcW w:w="1249" w:type="pct"/>
            <w:vMerge w:val="continue"/>
            <w:vAlign w:val="center"/>
          </w:tcPr>
          <w:p w14:paraId="75C6C491">
            <w:pPr>
              <w:adjustRightInd w:val="0"/>
              <w:snapToGrid w:val="0"/>
              <w:jc w:val="center"/>
              <w:rPr>
                <w:bCs/>
              </w:rPr>
            </w:pPr>
          </w:p>
        </w:tc>
        <w:tc>
          <w:tcPr>
            <w:tcW w:w="2464" w:type="dxa"/>
            <w:vAlign w:val="center"/>
          </w:tcPr>
          <w:p w14:paraId="47F11959">
            <w:pPr>
              <w:spacing w:line="288" w:lineRule="auto"/>
              <w:jc w:val="center"/>
              <w:rPr>
                <w:szCs w:val="21"/>
              </w:rPr>
            </w:pPr>
            <w:r>
              <w:rPr>
                <w:rFonts w:hint="eastAsia"/>
                <w:sz w:val="20"/>
                <w:szCs w:val="21"/>
              </w:rPr>
              <w:t>功率</w:t>
            </w:r>
          </w:p>
        </w:tc>
        <w:tc>
          <w:tcPr>
            <w:tcW w:w="1250" w:type="pct"/>
            <w:vAlign w:val="center"/>
          </w:tcPr>
          <w:p w14:paraId="7CBAFA09">
            <w:pPr>
              <w:spacing w:line="36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0.011</w:t>
            </w:r>
            <w:r>
              <w:rPr>
                <w:rFonts w:hint="default" w:ascii="Times New Roman" w:hAnsi="Times New Roman" w:cs="Times New Roman"/>
                <w:bCs/>
                <w:sz w:val="21"/>
                <w:szCs w:val="21"/>
                <w:lang w:val="en-US" w:eastAsia="zh-CN"/>
              </w:rPr>
              <w:t>0</w:t>
            </w:r>
            <w:r>
              <w:rPr>
                <w:rFonts w:hint="default" w:ascii="Times New Roman" w:hAnsi="Times New Roman" w:cs="Times New Roman"/>
                <w:bCs/>
                <w:sz w:val="21"/>
                <w:szCs w:val="21"/>
              </w:rPr>
              <w:t>%</w:t>
            </w:r>
          </w:p>
          <w:p w14:paraId="2394AD48">
            <w:pPr>
              <w:adjustRightInd w:val="0"/>
              <w:snapToGrid w:val="0"/>
              <w:jc w:val="center"/>
              <w:rPr>
                <w:rFonts w:hint="default" w:ascii="Times New Roman" w:hAnsi="Times New Roman" w:cs="Times New Roman"/>
                <w:sz w:val="21"/>
                <w:szCs w:val="21"/>
              </w:rPr>
            </w:pPr>
          </w:p>
        </w:tc>
      </w:tr>
      <w:tr w14:paraId="4D851B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303CCC5E">
            <w:pPr>
              <w:adjustRightInd w:val="0"/>
              <w:snapToGrid w:val="0"/>
              <w:jc w:val="center"/>
              <w:rPr>
                <w:i/>
                <w:szCs w:val="21"/>
              </w:rPr>
            </w:pPr>
          </w:p>
        </w:tc>
        <w:tc>
          <w:tcPr>
            <w:tcW w:w="1249" w:type="pct"/>
            <w:vMerge w:val="continue"/>
            <w:vAlign w:val="center"/>
          </w:tcPr>
          <w:p w14:paraId="10D49CC1">
            <w:pPr>
              <w:adjustRightInd w:val="0"/>
              <w:snapToGrid w:val="0"/>
              <w:jc w:val="center"/>
              <w:rPr>
                <w:bCs/>
              </w:rPr>
            </w:pPr>
          </w:p>
        </w:tc>
        <w:tc>
          <w:tcPr>
            <w:tcW w:w="2464" w:type="dxa"/>
            <w:vAlign w:val="center"/>
          </w:tcPr>
          <w:p w14:paraId="478E4A17">
            <w:pPr>
              <w:spacing w:line="288" w:lineRule="auto"/>
              <w:jc w:val="center"/>
              <w:rPr>
                <w:szCs w:val="21"/>
              </w:rPr>
            </w:pPr>
            <w:r>
              <w:rPr>
                <w:rFonts w:hint="eastAsia"/>
                <w:sz w:val="20"/>
                <w:szCs w:val="21"/>
                <w:lang w:eastAsia="zh-CN"/>
              </w:rPr>
              <w:t>频率</w:t>
            </w:r>
          </w:p>
        </w:tc>
        <w:tc>
          <w:tcPr>
            <w:tcW w:w="1250" w:type="pct"/>
            <w:vAlign w:val="center"/>
          </w:tcPr>
          <w:p w14:paraId="4553F809">
            <w:pPr>
              <w:spacing w:line="360" w:lineRule="auto"/>
              <w:jc w:val="center"/>
              <w:rPr>
                <w:rFonts w:hint="default" w:ascii="Times New Roman" w:hAnsi="Times New Roman" w:eastAsia="宋体" w:cs="Times New Roman"/>
                <w:bCs/>
                <w:sz w:val="21"/>
                <w:szCs w:val="21"/>
                <w:lang w:eastAsia="zh-CN"/>
              </w:rP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080</w:t>
            </w:r>
            <w:r>
              <w:rPr>
                <w:rFonts w:hint="default" w:ascii="Times New Roman" w:hAnsi="Times New Roman" w:cs="Times New Roman"/>
                <w:bCs/>
                <w:sz w:val="21"/>
                <w:szCs w:val="21"/>
              </w:rPr>
              <w:t>8%</w:t>
            </w:r>
          </w:p>
          <w:p w14:paraId="0613E35E">
            <w:pPr>
              <w:adjustRightInd w:val="0"/>
              <w:snapToGrid w:val="0"/>
              <w:jc w:val="center"/>
              <w:rPr>
                <w:rFonts w:hint="default" w:ascii="Times New Roman" w:hAnsi="Times New Roman" w:cs="Times New Roman"/>
                <w:sz w:val="21"/>
                <w:szCs w:val="21"/>
              </w:rPr>
            </w:pPr>
          </w:p>
        </w:tc>
      </w:tr>
      <w:tr w14:paraId="3F3677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0681697F">
            <w:pPr>
              <w:adjustRightInd w:val="0"/>
              <w:snapToGrid w:val="0"/>
              <w:jc w:val="center"/>
              <w:rPr>
                <w:i/>
                <w:szCs w:val="21"/>
              </w:rPr>
            </w:pPr>
          </w:p>
        </w:tc>
        <w:tc>
          <w:tcPr>
            <w:tcW w:w="1249" w:type="pct"/>
            <w:vMerge w:val="continue"/>
            <w:vAlign w:val="center"/>
          </w:tcPr>
          <w:p w14:paraId="2DB8F299">
            <w:pPr>
              <w:adjustRightInd w:val="0"/>
              <w:snapToGrid w:val="0"/>
              <w:jc w:val="center"/>
              <w:rPr>
                <w:bCs/>
              </w:rPr>
            </w:pPr>
          </w:p>
        </w:tc>
        <w:tc>
          <w:tcPr>
            <w:tcW w:w="2464" w:type="dxa"/>
            <w:vAlign w:val="center"/>
          </w:tcPr>
          <w:p w14:paraId="2B3F99AC">
            <w:pPr>
              <w:spacing w:line="288" w:lineRule="auto"/>
              <w:jc w:val="center"/>
              <w:rPr>
                <w:szCs w:val="21"/>
              </w:rPr>
            </w:pPr>
            <w:r>
              <w:rPr>
                <w:rFonts w:hint="eastAsia"/>
                <w:sz w:val="20"/>
                <w:szCs w:val="21"/>
                <w:lang w:eastAsia="zh-CN"/>
              </w:rPr>
              <w:t>相位</w:t>
            </w:r>
          </w:p>
        </w:tc>
        <w:tc>
          <w:tcPr>
            <w:tcW w:w="1250" w:type="pct"/>
            <w:vAlign w:val="center"/>
          </w:tcPr>
          <w:p w14:paraId="335B16AF">
            <w:pPr>
              <w:spacing w:line="36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173</w:t>
            </w:r>
            <w:r>
              <w:rPr>
                <w:rFonts w:hint="default" w:ascii="Times New Roman" w:hAnsi="Times New Roman" w:cs="Times New Roman"/>
                <w:bCs/>
                <w:sz w:val="21"/>
                <w:szCs w:val="21"/>
              </w:rPr>
              <w:t>°</w:t>
            </w:r>
          </w:p>
          <w:p w14:paraId="4FD2023E">
            <w:pPr>
              <w:adjustRightInd w:val="0"/>
              <w:snapToGrid w:val="0"/>
              <w:jc w:val="center"/>
              <w:rPr>
                <w:rFonts w:hint="default" w:ascii="Times New Roman" w:hAnsi="Times New Roman" w:cs="Times New Roman"/>
                <w:sz w:val="21"/>
                <w:szCs w:val="21"/>
              </w:rPr>
            </w:pPr>
          </w:p>
        </w:tc>
      </w:tr>
      <w:tr w14:paraId="7C9304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restart"/>
            <w:vAlign w:val="center"/>
          </w:tcPr>
          <w:p w14:paraId="0058F15C">
            <w:pPr>
              <w:adjustRightInd w:val="0"/>
              <w:snapToGrid w:val="0"/>
              <w:jc w:val="center"/>
              <w:rPr>
                <w:i/>
                <w:szCs w:val="21"/>
              </w:rPr>
            </w:pPr>
            <w:r>
              <w:rPr>
                <w:i/>
                <w:szCs w:val="21"/>
              </w:rPr>
              <w:t>u</w:t>
            </w:r>
            <w:r>
              <w:rPr>
                <w:szCs w:val="21"/>
                <w:vertAlign w:val="subscript"/>
              </w:rPr>
              <w:t>3</w:t>
            </w:r>
          </w:p>
        </w:tc>
        <w:tc>
          <w:tcPr>
            <w:tcW w:w="1249" w:type="pct"/>
            <w:vMerge w:val="restart"/>
            <w:vAlign w:val="center"/>
          </w:tcPr>
          <w:p w14:paraId="6F3009E5">
            <w:pPr>
              <w:adjustRightInd w:val="0"/>
              <w:snapToGrid w:val="0"/>
              <w:ind w:right="126" w:rightChars="60"/>
              <w:jc w:val="center"/>
              <w:rPr>
                <w:bCs/>
              </w:rPr>
            </w:pPr>
            <w:r>
              <w:rPr>
                <w:bCs/>
              </w:rPr>
              <w:t>测量结果的</w:t>
            </w:r>
            <w:r>
              <w:rPr>
                <w:rFonts w:hint="eastAsia"/>
                <w:bCs/>
              </w:rPr>
              <w:t>修约间距</w:t>
            </w:r>
          </w:p>
        </w:tc>
        <w:tc>
          <w:tcPr>
            <w:tcW w:w="2464" w:type="dxa"/>
            <w:vAlign w:val="center"/>
          </w:tcPr>
          <w:p w14:paraId="20F88E3B">
            <w:pPr>
              <w:spacing w:line="288" w:lineRule="auto"/>
              <w:jc w:val="center"/>
              <w:rPr>
                <w:szCs w:val="21"/>
              </w:rPr>
            </w:pPr>
            <w:r>
              <w:rPr>
                <w:rFonts w:hint="eastAsia"/>
                <w:sz w:val="20"/>
                <w:szCs w:val="21"/>
              </w:rPr>
              <w:t>电压</w:t>
            </w:r>
          </w:p>
        </w:tc>
        <w:tc>
          <w:tcPr>
            <w:tcW w:w="1250" w:type="pct"/>
            <w:vAlign w:val="center"/>
          </w:tcPr>
          <w:p w14:paraId="67FAAF64">
            <w:pPr>
              <w:spacing w:line="360" w:lineRule="auto"/>
              <w:jc w:val="center"/>
              <w:rPr>
                <w:bCs/>
              </w:rPr>
            </w:pPr>
            <w:r>
              <w:rPr>
                <w:bCs/>
              </w:rPr>
              <w:t>0.00</w:t>
            </w:r>
            <w:r>
              <w:rPr>
                <w:rFonts w:hint="eastAsia"/>
                <w:bCs/>
                <w:lang w:val="en-US" w:eastAsia="zh-CN"/>
              </w:rPr>
              <w:t>144</w:t>
            </w:r>
            <w:r>
              <w:rPr>
                <w:bCs/>
              </w:rPr>
              <w:t>%</w:t>
            </w:r>
          </w:p>
          <w:p w14:paraId="6BFB6D5B">
            <w:pPr>
              <w:adjustRightInd w:val="0"/>
              <w:snapToGrid w:val="0"/>
              <w:jc w:val="center"/>
              <w:rPr>
                <w:rFonts w:hint="default" w:ascii="Times New Roman" w:hAnsi="Times New Roman" w:cs="Times New Roman"/>
                <w:sz w:val="21"/>
                <w:szCs w:val="21"/>
              </w:rPr>
            </w:pPr>
          </w:p>
        </w:tc>
      </w:tr>
      <w:tr w14:paraId="0E1D39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23B46CC1">
            <w:pPr>
              <w:adjustRightInd w:val="0"/>
              <w:snapToGrid w:val="0"/>
              <w:jc w:val="center"/>
              <w:rPr>
                <w:i/>
                <w:szCs w:val="21"/>
              </w:rPr>
            </w:pPr>
          </w:p>
        </w:tc>
        <w:tc>
          <w:tcPr>
            <w:tcW w:w="1249" w:type="pct"/>
            <w:vMerge w:val="continue"/>
            <w:vAlign w:val="center"/>
          </w:tcPr>
          <w:p w14:paraId="5BBCF1C4">
            <w:pPr>
              <w:adjustRightInd w:val="0"/>
              <w:snapToGrid w:val="0"/>
              <w:ind w:right="126" w:rightChars="60"/>
              <w:jc w:val="center"/>
              <w:rPr>
                <w:bCs/>
              </w:rPr>
            </w:pPr>
          </w:p>
        </w:tc>
        <w:tc>
          <w:tcPr>
            <w:tcW w:w="2464" w:type="dxa"/>
            <w:vAlign w:val="center"/>
          </w:tcPr>
          <w:p w14:paraId="7A93DB3E">
            <w:pPr>
              <w:spacing w:line="288" w:lineRule="auto"/>
              <w:jc w:val="center"/>
              <w:rPr>
                <w:szCs w:val="21"/>
              </w:rPr>
            </w:pPr>
            <w:r>
              <w:rPr>
                <w:rFonts w:hint="eastAsia"/>
                <w:sz w:val="20"/>
                <w:szCs w:val="21"/>
              </w:rPr>
              <w:t>电流</w:t>
            </w:r>
          </w:p>
        </w:tc>
        <w:tc>
          <w:tcPr>
            <w:tcW w:w="1250" w:type="pct"/>
            <w:vAlign w:val="center"/>
          </w:tcPr>
          <w:p w14:paraId="0F3D9727">
            <w:pPr>
              <w:spacing w:line="360" w:lineRule="auto"/>
              <w:jc w:val="center"/>
              <w:rPr>
                <w:bCs/>
              </w:rPr>
            </w:pPr>
            <w:r>
              <w:rPr>
                <w:bCs/>
              </w:rPr>
              <w:t>0.00</w:t>
            </w:r>
            <w:r>
              <w:rPr>
                <w:rFonts w:hint="eastAsia"/>
                <w:bCs/>
                <w:lang w:val="en-US" w:eastAsia="zh-CN"/>
              </w:rPr>
              <w:t>144</w:t>
            </w:r>
            <w:r>
              <w:rPr>
                <w:bCs/>
              </w:rPr>
              <w:t>%</w:t>
            </w:r>
          </w:p>
          <w:p w14:paraId="5828BCFB">
            <w:pPr>
              <w:adjustRightInd w:val="0"/>
              <w:snapToGrid w:val="0"/>
              <w:jc w:val="center"/>
              <w:rPr>
                <w:rFonts w:hint="default" w:ascii="Times New Roman" w:hAnsi="Times New Roman" w:cs="Times New Roman"/>
                <w:sz w:val="21"/>
                <w:szCs w:val="21"/>
              </w:rPr>
            </w:pPr>
          </w:p>
        </w:tc>
      </w:tr>
      <w:tr w14:paraId="0D673D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12393B12">
            <w:pPr>
              <w:adjustRightInd w:val="0"/>
              <w:snapToGrid w:val="0"/>
              <w:jc w:val="center"/>
              <w:rPr>
                <w:i/>
                <w:szCs w:val="21"/>
              </w:rPr>
            </w:pPr>
          </w:p>
        </w:tc>
        <w:tc>
          <w:tcPr>
            <w:tcW w:w="1249" w:type="pct"/>
            <w:vMerge w:val="continue"/>
            <w:vAlign w:val="center"/>
          </w:tcPr>
          <w:p w14:paraId="389BE9FF">
            <w:pPr>
              <w:adjustRightInd w:val="0"/>
              <w:snapToGrid w:val="0"/>
              <w:ind w:right="126" w:rightChars="60"/>
              <w:jc w:val="center"/>
              <w:rPr>
                <w:bCs/>
              </w:rPr>
            </w:pPr>
          </w:p>
        </w:tc>
        <w:tc>
          <w:tcPr>
            <w:tcW w:w="2464" w:type="dxa"/>
            <w:vAlign w:val="center"/>
          </w:tcPr>
          <w:p w14:paraId="506CA7EA">
            <w:pPr>
              <w:spacing w:line="288" w:lineRule="auto"/>
              <w:jc w:val="center"/>
              <w:rPr>
                <w:szCs w:val="21"/>
              </w:rPr>
            </w:pPr>
            <w:r>
              <w:rPr>
                <w:rFonts w:hint="eastAsia"/>
                <w:sz w:val="20"/>
                <w:szCs w:val="21"/>
              </w:rPr>
              <w:t>功率</w:t>
            </w:r>
          </w:p>
        </w:tc>
        <w:tc>
          <w:tcPr>
            <w:tcW w:w="1250" w:type="pct"/>
            <w:vAlign w:val="center"/>
          </w:tcPr>
          <w:p w14:paraId="58DA9967">
            <w:pPr>
              <w:spacing w:line="360" w:lineRule="auto"/>
              <w:jc w:val="center"/>
              <w:rPr>
                <w:bCs/>
              </w:rPr>
            </w:pPr>
            <w:r>
              <w:rPr>
                <w:bCs/>
              </w:rPr>
              <w:t>0.00</w:t>
            </w:r>
            <w:r>
              <w:rPr>
                <w:rFonts w:hint="eastAsia"/>
                <w:bCs/>
                <w:lang w:val="en-US" w:eastAsia="zh-CN"/>
              </w:rPr>
              <w:t>144</w:t>
            </w:r>
            <w:r>
              <w:rPr>
                <w:bCs/>
              </w:rPr>
              <w:t>%</w:t>
            </w:r>
          </w:p>
          <w:p w14:paraId="0926ABD9">
            <w:pPr>
              <w:adjustRightInd w:val="0"/>
              <w:snapToGrid w:val="0"/>
              <w:jc w:val="center"/>
              <w:rPr>
                <w:rFonts w:hint="default" w:ascii="Times New Roman" w:hAnsi="Times New Roman" w:cs="Times New Roman"/>
                <w:sz w:val="21"/>
                <w:szCs w:val="21"/>
              </w:rPr>
            </w:pPr>
          </w:p>
        </w:tc>
      </w:tr>
      <w:tr w14:paraId="7DEA7F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56852B2A">
            <w:pPr>
              <w:adjustRightInd w:val="0"/>
              <w:snapToGrid w:val="0"/>
              <w:jc w:val="center"/>
              <w:rPr>
                <w:i/>
                <w:szCs w:val="21"/>
              </w:rPr>
            </w:pPr>
          </w:p>
        </w:tc>
        <w:tc>
          <w:tcPr>
            <w:tcW w:w="1249" w:type="pct"/>
            <w:vMerge w:val="continue"/>
            <w:vAlign w:val="center"/>
          </w:tcPr>
          <w:p w14:paraId="30AF4E20">
            <w:pPr>
              <w:adjustRightInd w:val="0"/>
              <w:snapToGrid w:val="0"/>
              <w:ind w:right="126" w:rightChars="60"/>
              <w:jc w:val="center"/>
              <w:rPr>
                <w:bCs/>
              </w:rPr>
            </w:pPr>
          </w:p>
        </w:tc>
        <w:tc>
          <w:tcPr>
            <w:tcW w:w="2464" w:type="dxa"/>
            <w:vAlign w:val="center"/>
          </w:tcPr>
          <w:p w14:paraId="283B47A3">
            <w:pPr>
              <w:spacing w:line="288" w:lineRule="auto"/>
              <w:jc w:val="center"/>
              <w:rPr>
                <w:szCs w:val="21"/>
              </w:rPr>
            </w:pPr>
            <w:r>
              <w:rPr>
                <w:rFonts w:hint="eastAsia"/>
                <w:sz w:val="20"/>
                <w:szCs w:val="21"/>
                <w:lang w:eastAsia="zh-CN"/>
              </w:rPr>
              <w:t>频率</w:t>
            </w:r>
          </w:p>
        </w:tc>
        <w:tc>
          <w:tcPr>
            <w:tcW w:w="1250" w:type="pct"/>
            <w:vAlign w:val="center"/>
          </w:tcPr>
          <w:p w14:paraId="3408C06E">
            <w:pPr>
              <w:spacing w:line="360" w:lineRule="auto"/>
              <w:jc w:val="center"/>
              <w:rPr>
                <w:rFonts w:hint="eastAsia"/>
                <w:bCs/>
                <w:szCs w:val="21"/>
                <w:lang w:val="en-US" w:eastAsia="zh-CN"/>
              </w:rPr>
            </w:pPr>
            <w:r>
              <w:rPr>
                <w:rFonts w:hint="eastAsia"/>
                <w:bCs/>
              </w:rPr>
              <w:t>0.0</w:t>
            </w:r>
            <w:r>
              <w:rPr>
                <w:bCs/>
              </w:rPr>
              <w:t>0</w:t>
            </w:r>
            <w:r>
              <w:rPr>
                <w:rFonts w:hint="eastAsia"/>
                <w:bCs/>
                <w:lang w:val="en-US" w:eastAsia="zh-CN"/>
              </w:rPr>
              <w:t>0144</w:t>
            </w:r>
            <w:r>
              <w:rPr>
                <w:rFonts w:hint="eastAsia"/>
                <w:bCs/>
                <w:szCs w:val="21"/>
                <w:lang w:val="en-US" w:eastAsia="zh-CN"/>
              </w:rPr>
              <w:t>Hz</w:t>
            </w:r>
          </w:p>
          <w:p w14:paraId="39D0C310">
            <w:pPr>
              <w:adjustRightInd w:val="0"/>
              <w:snapToGrid w:val="0"/>
              <w:jc w:val="center"/>
              <w:rPr>
                <w:rFonts w:hint="default" w:ascii="Times New Roman" w:hAnsi="Times New Roman" w:cs="Times New Roman"/>
                <w:sz w:val="21"/>
                <w:szCs w:val="21"/>
              </w:rPr>
            </w:pPr>
          </w:p>
        </w:tc>
      </w:tr>
      <w:tr w14:paraId="33C673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49" w:type="pct"/>
            <w:vMerge w:val="continue"/>
            <w:vAlign w:val="center"/>
          </w:tcPr>
          <w:p w14:paraId="3DB21EE7">
            <w:pPr>
              <w:adjustRightInd w:val="0"/>
              <w:snapToGrid w:val="0"/>
              <w:jc w:val="center"/>
              <w:rPr>
                <w:i/>
                <w:szCs w:val="21"/>
              </w:rPr>
            </w:pPr>
          </w:p>
        </w:tc>
        <w:tc>
          <w:tcPr>
            <w:tcW w:w="1249" w:type="pct"/>
            <w:vMerge w:val="continue"/>
            <w:vAlign w:val="center"/>
          </w:tcPr>
          <w:p w14:paraId="32A04783">
            <w:pPr>
              <w:adjustRightInd w:val="0"/>
              <w:snapToGrid w:val="0"/>
              <w:ind w:right="126" w:rightChars="60"/>
              <w:jc w:val="center"/>
              <w:rPr>
                <w:bCs/>
              </w:rPr>
            </w:pPr>
          </w:p>
        </w:tc>
        <w:tc>
          <w:tcPr>
            <w:tcW w:w="2464" w:type="dxa"/>
            <w:vAlign w:val="center"/>
          </w:tcPr>
          <w:p w14:paraId="49E440E2">
            <w:pPr>
              <w:spacing w:line="288" w:lineRule="auto"/>
              <w:jc w:val="center"/>
              <w:rPr>
                <w:szCs w:val="21"/>
              </w:rPr>
            </w:pPr>
            <w:r>
              <w:rPr>
                <w:rFonts w:hint="eastAsia"/>
                <w:sz w:val="20"/>
                <w:szCs w:val="21"/>
                <w:lang w:eastAsia="zh-CN"/>
              </w:rPr>
              <w:t>相位</w:t>
            </w:r>
          </w:p>
        </w:tc>
        <w:tc>
          <w:tcPr>
            <w:tcW w:w="1250" w:type="pct"/>
            <w:vAlign w:val="center"/>
          </w:tcPr>
          <w:p w14:paraId="25AB42FC">
            <w:pPr>
              <w:spacing w:line="360" w:lineRule="auto"/>
              <w:jc w:val="center"/>
              <w:rPr>
                <w:bCs/>
              </w:rPr>
            </w:pPr>
            <w:r>
              <w:rPr>
                <w:bCs/>
              </w:rPr>
              <w:t>0.00</w:t>
            </w:r>
            <w:r>
              <w:rPr>
                <w:rFonts w:hint="eastAsia"/>
                <w:bCs/>
                <w:lang w:val="en-US" w:eastAsia="zh-CN"/>
              </w:rPr>
              <w:t>00577</w:t>
            </w:r>
            <w:r>
              <w:rPr>
                <w:rFonts w:hint="eastAsia"/>
                <w:bCs/>
              </w:rPr>
              <w:t>°</w:t>
            </w:r>
          </w:p>
          <w:p w14:paraId="1C7A9590">
            <w:pPr>
              <w:adjustRightInd w:val="0"/>
              <w:snapToGrid w:val="0"/>
              <w:jc w:val="center"/>
              <w:rPr>
                <w:rFonts w:hint="default" w:ascii="Times New Roman" w:hAnsi="Times New Roman" w:cs="Times New Roman"/>
                <w:sz w:val="21"/>
                <w:szCs w:val="21"/>
              </w:rPr>
            </w:pPr>
          </w:p>
        </w:tc>
      </w:tr>
    </w:tbl>
    <w:p w14:paraId="2DAA2DF1">
      <w:pPr>
        <w:spacing w:before="156" w:beforeLines="50"/>
      </w:pPr>
      <w:r>
        <w:rPr>
          <w:bCs/>
        </w:rPr>
        <w:t xml:space="preserve"> </w:t>
      </w:r>
      <w:r>
        <w:rPr>
          <w:rFonts w:hint="eastAsia"/>
          <w:bCs/>
        </w:rPr>
        <w:t>5</w:t>
      </w:r>
      <w:r>
        <w:rPr>
          <w:bCs/>
        </w:rPr>
        <w:t>．</w:t>
      </w:r>
      <w:r>
        <w:rPr>
          <w:rFonts w:hint="eastAsia"/>
          <w:bCs/>
        </w:rPr>
        <w:t>合成标准不确定度及扩展不确定度</w:t>
      </w:r>
      <w:r>
        <w:t xml:space="preserve">  </w:t>
      </w:r>
    </w:p>
    <w:p w14:paraId="74B1466C">
      <w:pPr>
        <w:spacing w:before="156" w:beforeLines="50"/>
        <w:ind w:firstLine="420" w:firstLineChars="200"/>
        <w:rPr>
          <w:szCs w:val="21"/>
        </w:rPr>
      </w:pPr>
      <w:r>
        <w:rPr>
          <w:szCs w:val="21"/>
        </w:rPr>
        <w:t>以上各项标准不确定度分量是互不相关的，所以合成标准不确定度为：</w:t>
      </w:r>
    </w:p>
    <w:p w14:paraId="4FE78F33">
      <w:pPr>
        <w:spacing w:before="156" w:beforeLines="50"/>
        <w:ind w:right="630" w:firstLine="420" w:firstLineChars="200"/>
        <w:jc w:val="center"/>
        <w:rPr>
          <w:szCs w:val="21"/>
        </w:rPr>
      </w:pPr>
      <w:r>
        <w:rPr>
          <w:position w:val="-14"/>
          <w:szCs w:val="21"/>
        </w:rPr>
        <w:object>
          <v:shape id="_x0000_i1053" o:spt="75" type="#_x0000_t75" style="height:22.45pt;width:98.5pt;" o:ole="t" filled="f" o:preferrelative="t" stroked="f" coordsize="21600,21600">
            <v:path/>
            <v:fill on="f" focussize="0,0"/>
            <v:stroke on="f" joinstyle="miter"/>
            <v:imagedata r:id="rId51" o:title=""/>
            <o:lock v:ext="edit" aspectratio="t"/>
            <w10:wrap type="none"/>
            <w10:anchorlock/>
          </v:shape>
          <o:OLEObject Type="Embed" ProgID="Equation.DSMT4" ShapeID="_x0000_i1053" DrawAspect="Content" ObjectID="_1468075753" r:id="rId50">
            <o:LockedField>false</o:LockedField>
          </o:OLEObject>
        </w:object>
      </w:r>
    </w:p>
    <w:p w14:paraId="016D7C03">
      <w:pPr>
        <w:spacing w:before="156" w:beforeLines="50"/>
        <w:ind w:firstLine="420" w:firstLineChars="200"/>
        <w:rPr>
          <w:szCs w:val="21"/>
          <w:lang w:val="es-ES"/>
        </w:rPr>
      </w:pPr>
      <w:r>
        <w:t>测量结果可认为是正态分布，扩展不确定度</w:t>
      </w:r>
      <w:r>
        <w:rPr>
          <w:i/>
          <w:iCs/>
          <w:position w:val="-6"/>
        </w:rPr>
        <w:object>
          <v:shape id="_x0000_i1054" o:spt="75" type="#_x0000_t75" style="height:13.8pt;width:13.25pt;" o:ole="t" filled="f" o:preferrelative="t" stroked="f" coordsize="21600,21600">
            <v:path/>
            <v:fill on="f" focussize="0,0"/>
            <v:stroke on="f" joinstyle="miter"/>
            <v:imagedata r:id="rId53" o:title=""/>
            <o:lock v:ext="edit" aspectratio="t"/>
            <w10:wrap type="none"/>
            <w10:anchorlock/>
          </v:shape>
          <o:OLEObject Type="Embed" ProgID="Equation.DSMT4" ShapeID="_x0000_i1054" DrawAspect="Content" ObjectID="_1468075754" r:id="rId52">
            <o:LockedField>false</o:LockedField>
          </o:OLEObject>
        </w:object>
      </w:r>
      <w:r>
        <w:t>等于合成标准不确定度</w:t>
      </w:r>
      <w:r>
        <w:rPr>
          <w:i/>
          <w:position w:val="-12"/>
          <w:szCs w:val="21"/>
        </w:rPr>
        <w:object>
          <v:shape id="_x0000_i1055" o:spt="75" type="#_x0000_t75" style="height:19.6pt;width:13.25pt;" o:ole="t" filled="f" o:preferrelative="t" stroked="f" coordsize="21600,21600">
            <v:path/>
            <v:fill on="f" focussize="0,0"/>
            <v:stroke on="f" joinstyle="miter"/>
            <v:imagedata r:id="rId55" o:title=""/>
            <o:lock v:ext="edit" aspectratio="t"/>
            <w10:wrap type="none"/>
            <w10:anchorlock/>
          </v:shape>
          <o:OLEObject Type="Embed" ProgID="Equation.DSMT4" ShapeID="_x0000_i1055" DrawAspect="Content" ObjectID="_1468075755" r:id="rId54">
            <o:LockedField>false</o:LockedField>
          </o:OLEObject>
        </w:object>
      </w:r>
      <w:r>
        <w:rPr>
          <w:szCs w:val="21"/>
        </w:rPr>
        <w:t>和包含因子</w:t>
      </w:r>
      <w:r>
        <w:rPr>
          <w:i/>
          <w:iCs/>
          <w:position w:val="-10"/>
          <w:szCs w:val="21"/>
        </w:rPr>
        <w:object>
          <v:shape id="_x0000_i1056" o:spt="75" type="#_x0000_t75" style="height:16.15pt;width:13.8pt;" o:ole="t" filled="f" o:preferrelative="t" stroked="f" coordsize="21600,21600">
            <v:path/>
            <v:fill on="f" focussize="0,0"/>
            <v:stroke on="f" joinstyle="miter"/>
            <v:imagedata r:id="rId57" o:title=""/>
            <o:lock v:ext="edit" aspectratio="t"/>
            <w10:wrap type="none"/>
            <w10:anchorlock/>
          </v:shape>
          <o:OLEObject Type="Embed" ProgID="Equation.DSMT4" ShapeID="_x0000_i1056" DrawAspect="Content" ObjectID="_1468075756" r:id="rId56">
            <o:LockedField>false</o:LockedField>
          </o:OLEObject>
        </w:object>
      </w:r>
      <w:r>
        <w:rPr>
          <w:szCs w:val="21"/>
        </w:rPr>
        <w:t>的乘积。取</w:t>
      </w:r>
      <w:r>
        <w:rPr>
          <w:i/>
          <w:iCs/>
          <w:position w:val="-10"/>
          <w:szCs w:val="21"/>
        </w:rPr>
        <w:object>
          <v:shape id="_x0000_i1057" o:spt="75" type="#_x0000_t75" style="height:16.15pt;width:31.1pt;" o:ole="t" filled="f" o:preferrelative="t" stroked="f" coordsize="21600,21600">
            <v:path/>
            <v:fill on="f" focussize="0,0"/>
            <v:stroke on="f" joinstyle="miter"/>
            <v:imagedata r:id="rId59" o:title=""/>
            <o:lock v:ext="edit" aspectratio="t"/>
            <w10:wrap type="none"/>
            <w10:anchorlock/>
          </v:shape>
          <o:OLEObject Type="Embed" ProgID="Equation.DSMT4" ShapeID="_x0000_i1057" DrawAspect="Content" ObjectID="_1468075757" r:id="rId58">
            <o:LockedField>false</o:LockedField>
          </o:OLEObject>
        </w:object>
      </w:r>
      <w:r>
        <w:rPr>
          <w:szCs w:val="21"/>
        </w:rPr>
        <w:t>, 置信概率为95%，</w:t>
      </w:r>
      <w:r>
        <w:rPr>
          <w:bCs/>
        </w:rPr>
        <w:t>得到的扩展不确定度结果见表</w:t>
      </w:r>
      <w:r>
        <w:rPr>
          <w:rFonts w:hint="eastAsia"/>
          <w:bCs/>
        </w:rPr>
        <w:t>4</w:t>
      </w:r>
      <w:r>
        <w:t>，其中，</w:t>
      </w:r>
      <w:r>
        <w:rPr>
          <w:position w:val="-12"/>
          <w:szCs w:val="21"/>
        </w:rPr>
        <w:object>
          <v:shape id="_x0000_i1058" o:spt="75" type="#_x0000_t75" style="height:19.6pt;width:77.75pt;" o:ole="t" filled="f" o:preferrelative="t" stroked="f" coordsize="21600,21600">
            <v:path/>
            <v:fill on="f" focussize="0,0"/>
            <v:stroke on="f" joinstyle="miter"/>
            <v:imagedata r:id="rId61" o:title=""/>
            <o:lock v:ext="edit" aspectratio="t"/>
            <w10:wrap type="none"/>
            <w10:anchorlock/>
          </v:shape>
          <o:OLEObject Type="Embed" ProgID="Equation.DSMT4" ShapeID="_x0000_i1058" DrawAspect="Content" ObjectID="_1468075758" r:id="rId60">
            <o:LockedField>false</o:LockedField>
          </o:OLEObject>
        </w:object>
      </w:r>
      <w:r>
        <w:rPr>
          <w:szCs w:val="21"/>
          <w:lang w:val="es-ES"/>
        </w:rPr>
        <w:t>。</w:t>
      </w:r>
    </w:p>
    <w:p w14:paraId="57A5B227">
      <w:pPr>
        <w:spacing w:before="156" w:beforeLines="50"/>
        <w:ind w:firstLine="315" w:firstLineChars="150"/>
        <w:jc w:val="center"/>
        <w:rPr>
          <w:szCs w:val="21"/>
        </w:rPr>
      </w:pPr>
      <w:r>
        <w:rPr>
          <w:szCs w:val="21"/>
        </w:rPr>
        <w:t>表</w:t>
      </w:r>
      <w:r>
        <w:rPr>
          <w:rFonts w:hint="eastAsia"/>
          <w:szCs w:val="21"/>
        </w:rPr>
        <w:t>4</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35"/>
        <w:gridCol w:w="1531"/>
        <w:gridCol w:w="1368"/>
        <w:gridCol w:w="1531"/>
        <w:gridCol w:w="1531"/>
        <w:gridCol w:w="2058"/>
      </w:tblGrid>
      <w:tr w14:paraId="22BAC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 w:hRule="atLeast"/>
          <w:jc w:val="center"/>
        </w:trPr>
        <w:tc>
          <w:tcPr>
            <w:tcW w:w="931" w:type="pct"/>
            <w:vAlign w:val="center"/>
          </w:tcPr>
          <w:p w14:paraId="0AB06AB2">
            <w:pPr>
              <w:spacing w:line="288" w:lineRule="auto"/>
              <w:jc w:val="center"/>
              <w:rPr>
                <w:szCs w:val="21"/>
              </w:rPr>
            </w:pPr>
            <w:r>
              <w:rPr>
                <w:rFonts w:hint="eastAsia"/>
                <w:szCs w:val="21"/>
              </w:rPr>
              <w:t>参数</w:t>
            </w:r>
          </w:p>
        </w:tc>
        <w:tc>
          <w:tcPr>
            <w:tcW w:w="777" w:type="pct"/>
            <w:vAlign w:val="center"/>
          </w:tcPr>
          <w:p w14:paraId="2CF9F10D">
            <w:pPr>
              <w:spacing w:line="288" w:lineRule="auto"/>
              <w:jc w:val="center"/>
              <w:rPr>
                <w:szCs w:val="21"/>
              </w:rPr>
            </w:pPr>
            <w:r>
              <w:rPr>
                <w:position w:val="-12"/>
                <w:szCs w:val="21"/>
              </w:rPr>
              <w:object>
                <v:shape id="_x0000_i1059" o:spt="75" type="#_x0000_t75" style="height:19.6pt;width:12.1pt;" o:ole="t" filled="f" o:preferrelative="t" stroked="f" coordsize="21600,21600">
                  <v:path/>
                  <v:fill on="f" focussize="0,0"/>
                  <v:stroke on="f" joinstyle="miter"/>
                  <v:imagedata r:id="rId63" o:title=""/>
                  <o:lock v:ext="edit" aspectratio="t"/>
                  <w10:wrap type="none"/>
                  <w10:anchorlock/>
                </v:shape>
                <o:OLEObject Type="Embed" ProgID="Equation.DSMT4" ShapeID="_x0000_i1059" DrawAspect="Content" ObjectID="_1468075759" r:id="rId62">
                  <o:LockedField>false</o:LockedField>
                </o:OLEObject>
              </w:object>
            </w:r>
          </w:p>
        </w:tc>
        <w:tc>
          <w:tcPr>
            <w:tcW w:w="694" w:type="pct"/>
            <w:vAlign w:val="center"/>
          </w:tcPr>
          <w:p w14:paraId="0BA15705">
            <w:pPr>
              <w:spacing w:line="288" w:lineRule="auto"/>
              <w:jc w:val="center"/>
              <w:rPr>
                <w:szCs w:val="21"/>
              </w:rPr>
            </w:pPr>
            <w:r>
              <w:rPr>
                <w:position w:val="-12"/>
                <w:szCs w:val="21"/>
              </w:rPr>
              <w:object>
                <v:shape id="_x0000_i1060" o:spt="75" type="#_x0000_t75" style="height:19.6pt;width:13.25pt;" o:ole="t" filled="f" o:preferrelative="t" stroked="f" coordsize="21600,21600">
                  <v:path/>
                  <v:fill on="f" focussize="0,0"/>
                  <v:stroke on="f" joinstyle="miter"/>
                  <v:imagedata r:id="rId65" o:title=""/>
                  <o:lock v:ext="edit" aspectratio="t"/>
                  <w10:wrap type="none"/>
                  <w10:anchorlock/>
                </v:shape>
                <o:OLEObject Type="Embed" ProgID="Equation.DSMT4" ShapeID="_x0000_i1060" DrawAspect="Content" ObjectID="_1468075760" r:id="rId64">
                  <o:LockedField>false</o:LockedField>
                </o:OLEObject>
              </w:object>
            </w:r>
          </w:p>
        </w:tc>
        <w:tc>
          <w:tcPr>
            <w:tcW w:w="777" w:type="pct"/>
            <w:vAlign w:val="center"/>
          </w:tcPr>
          <w:p w14:paraId="4793FF62">
            <w:pPr>
              <w:spacing w:line="288" w:lineRule="auto"/>
              <w:jc w:val="center"/>
              <w:rPr>
                <w:szCs w:val="21"/>
              </w:rPr>
            </w:pPr>
            <w:r>
              <w:rPr>
                <w:position w:val="-12"/>
                <w:szCs w:val="21"/>
              </w:rPr>
              <w:object>
                <v:shape id="_x0000_i1061" o:spt="75" type="#_x0000_t75" style="height:19.6pt;width:13.25pt;" o:ole="t" filled="f" o:preferrelative="t" stroked="f" coordsize="21600,21600">
                  <v:path/>
                  <v:fill on="f" focussize="0,0"/>
                  <v:stroke on="f" joinstyle="miter"/>
                  <v:imagedata r:id="rId67" o:title=""/>
                  <o:lock v:ext="edit" aspectratio="t"/>
                  <w10:wrap type="none"/>
                  <w10:anchorlock/>
                </v:shape>
                <o:OLEObject Type="Embed" ProgID="Equation.DSMT4" ShapeID="_x0000_i1061" DrawAspect="Content" ObjectID="_1468075761" r:id="rId66">
                  <o:LockedField>false</o:LockedField>
                </o:OLEObject>
              </w:object>
            </w:r>
          </w:p>
        </w:tc>
        <w:tc>
          <w:tcPr>
            <w:tcW w:w="777" w:type="pct"/>
            <w:vAlign w:val="center"/>
          </w:tcPr>
          <w:p w14:paraId="13B91EA8">
            <w:pPr>
              <w:spacing w:line="288" w:lineRule="auto"/>
              <w:jc w:val="center"/>
              <w:rPr>
                <w:szCs w:val="21"/>
              </w:rPr>
            </w:pPr>
            <w:r>
              <w:rPr>
                <w:position w:val="-12"/>
                <w:szCs w:val="21"/>
              </w:rPr>
              <w:object>
                <v:shape id="_x0000_i1062" o:spt="75" type="#_x0000_t75" style="height:19.6pt;width:13.25pt;" o:ole="t" filled="f" o:preferrelative="t" stroked="f" coordsize="21600,21600">
                  <v:path/>
                  <v:fill on="f" focussize="0,0"/>
                  <v:stroke on="f" joinstyle="miter"/>
                  <v:imagedata r:id="rId69" o:title=""/>
                  <o:lock v:ext="edit" aspectratio="t"/>
                  <w10:wrap type="none"/>
                  <w10:anchorlock/>
                </v:shape>
                <o:OLEObject Type="Embed" ProgID="Equation.DSMT4" ShapeID="_x0000_i1062" DrawAspect="Content" ObjectID="_1468075762" r:id="rId68">
                  <o:LockedField>false</o:LockedField>
                </o:OLEObject>
              </w:object>
            </w:r>
          </w:p>
        </w:tc>
        <w:tc>
          <w:tcPr>
            <w:tcW w:w="1044" w:type="pct"/>
            <w:vAlign w:val="center"/>
          </w:tcPr>
          <w:p w14:paraId="3FD9D485">
            <w:pPr>
              <w:spacing w:line="288" w:lineRule="auto"/>
              <w:jc w:val="center"/>
              <w:rPr>
                <w:szCs w:val="21"/>
              </w:rPr>
            </w:pPr>
            <w:r>
              <w:rPr>
                <w:i/>
                <w:color w:val="000000"/>
              </w:rPr>
              <w:t>U</w:t>
            </w:r>
          </w:p>
        </w:tc>
      </w:tr>
      <w:tr w14:paraId="45B9D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31" w:type="pct"/>
            <w:vAlign w:val="center"/>
          </w:tcPr>
          <w:p w14:paraId="71CCBC7F">
            <w:pPr>
              <w:spacing w:line="288" w:lineRule="auto"/>
              <w:jc w:val="center"/>
              <w:rPr>
                <w:szCs w:val="21"/>
              </w:rPr>
            </w:pPr>
            <w:r>
              <w:rPr>
                <w:szCs w:val="21"/>
              </w:rPr>
              <w:t>电</w:t>
            </w:r>
            <w:r>
              <w:rPr>
                <w:rFonts w:hint="eastAsia"/>
                <w:szCs w:val="21"/>
              </w:rPr>
              <w:t>压</w:t>
            </w:r>
          </w:p>
        </w:tc>
        <w:tc>
          <w:tcPr>
            <w:tcW w:w="777" w:type="pct"/>
            <w:vAlign w:val="center"/>
          </w:tcPr>
          <w:p w14:paraId="5668420E">
            <w:pPr>
              <w:jc w:val="center"/>
              <w:rPr>
                <w:sz w:val="24"/>
              </w:rPr>
            </w:pPr>
            <w:r>
              <w:t>0.0</w:t>
            </w:r>
            <w:r>
              <w:rPr>
                <w:rFonts w:hint="eastAsia"/>
                <w:lang w:val="en-US" w:eastAsia="zh-CN"/>
              </w:rPr>
              <w:t>00315</w:t>
            </w:r>
            <w:r>
              <w:t>%</w:t>
            </w:r>
          </w:p>
        </w:tc>
        <w:tc>
          <w:tcPr>
            <w:tcW w:w="694" w:type="pct"/>
            <w:vAlign w:val="center"/>
          </w:tcPr>
          <w:p w14:paraId="78BAFEE8">
            <w:pPr>
              <w:jc w:val="center"/>
              <w:rPr>
                <w:sz w:val="24"/>
              </w:rP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452</w:t>
            </w:r>
            <w:r>
              <w:rPr>
                <w:rFonts w:hint="default" w:ascii="Times New Roman" w:hAnsi="Times New Roman" w:cs="Times New Roman"/>
                <w:bCs/>
                <w:sz w:val="21"/>
                <w:szCs w:val="21"/>
              </w:rPr>
              <w:t>%</w:t>
            </w:r>
          </w:p>
        </w:tc>
        <w:tc>
          <w:tcPr>
            <w:tcW w:w="777" w:type="pct"/>
            <w:vAlign w:val="center"/>
          </w:tcPr>
          <w:p w14:paraId="0CD7ED41">
            <w:pPr>
              <w:spacing w:line="360" w:lineRule="auto"/>
              <w:jc w:val="center"/>
              <w:rPr>
                <w:sz w:val="24"/>
              </w:rPr>
            </w:pPr>
            <w:r>
              <w:rPr>
                <w:bCs/>
              </w:rPr>
              <w:t>0.00</w:t>
            </w:r>
            <w:r>
              <w:rPr>
                <w:rFonts w:hint="eastAsia"/>
                <w:bCs/>
                <w:lang w:val="en-US" w:eastAsia="zh-CN"/>
              </w:rPr>
              <w:t>144</w:t>
            </w:r>
            <w:r>
              <w:rPr>
                <w:bCs/>
              </w:rPr>
              <w:t>%</w:t>
            </w:r>
          </w:p>
        </w:tc>
        <w:tc>
          <w:tcPr>
            <w:tcW w:w="777" w:type="pct"/>
            <w:vAlign w:val="center"/>
          </w:tcPr>
          <w:p w14:paraId="6959D1DD">
            <w:pPr>
              <w:jc w:val="center"/>
              <w:rPr>
                <w:rFonts w:hint="default" w:eastAsia="宋体"/>
                <w:sz w:val="24"/>
                <w:lang w:val="en-US" w:eastAsia="zh-CN"/>
              </w:rPr>
            </w:pPr>
            <w:r>
              <w:rPr>
                <w:rFonts w:hint="eastAsia"/>
                <w:sz w:val="24"/>
                <w:lang w:val="en-US" w:eastAsia="zh-CN"/>
              </w:rPr>
              <w:t>0.00475</w:t>
            </w:r>
            <w:r>
              <w:rPr>
                <w:bCs/>
              </w:rPr>
              <w:t>%</w:t>
            </w:r>
          </w:p>
        </w:tc>
        <w:tc>
          <w:tcPr>
            <w:tcW w:w="1044" w:type="pct"/>
            <w:vAlign w:val="center"/>
          </w:tcPr>
          <w:p w14:paraId="35D4F4A3">
            <w:pPr>
              <w:jc w:val="center"/>
              <w:rPr>
                <w:color w:val="000000"/>
                <w:sz w:val="24"/>
              </w:rPr>
            </w:pPr>
            <w:r>
              <w:rPr>
                <w:color w:val="000000"/>
              </w:rPr>
              <w:t>0.0</w:t>
            </w:r>
            <w:r>
              <w:rPr>
                <w:rFonts w:hint="eastAsia"/>
                <w:color w:val="000000"/>
                <w:lang w:val="en-US" w:eastAsia="zh-CN"/>
              </w:rPr>
              <w:t>095</w:t>
            </w:r>
            <w:r>
              <w:t>%</w:t>
            </w:r>
          </w:p>
        </w:tc>
      </w:tr>
      <w:tr w14:paraId="7C6D4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31" w:type="pct"/>
            <w:vAlign w:val="center"/>
          </w:tcPr>
          <w:p w14:paraId="640E8B40">
            <w:pPr>
              <w:spacing w:line="288" w:lineRule="auto"/>
              <w:jc w:val="center"/>
              <w:rPr>
                <w:szCs w:val="21"/>
              </w:rPr>
            </w:pPr>
            <w:r>
              <w:rPr>
                <w:szCs w:val="21"/>
              </w:rPr>
              <w:t>电流</w:t>
            </w:r>
          </w:p>
        </w:tc>
        <w:tc>
          <w:tcPr>
            <w:tcW w:w="777" w:type="pct"/>
            <w:vAlign w:val="center"/>
          </w:tcPr>
          <w:p w14:paraId="1D0104C6">
            <w:pPr>
              <w:jc w:val="center"/>
            </w:pPr>
            <w:r>
              <w:t>0.0</w:t>
            </w:r>
            <w:r>
              <w:rPr>
                <w:rFonts w:hint="eastAsia"/>
                <w:lang w:val="en-US" w:eastAsia="zh-CN"/>
              </w:rPr>
              <w:t>0109</w:t>
            </w:r>
            <w:r>
              <w:t>%</w:t>
            </w:r>
          </w:p>
        </w:tc>
        <w:tc>
          <w:tcPr>
            <w:tcW w:w="694" w:type="pct"/>
            <w:vAlign w:val="center"/>
          </w:tcPr>
          <w:p w14:paraId="21A57856">
            <w:pPr>
              <w:spacing w:line="360" w:lineRule="auto"/>
              <w:jc w:val="cente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346</w:t>
            </w:r>
            <w:r>
              <w:rPr>
                <w:rFonts w:hint="default" w:ascii="Times New Roman" w:hAnsi="Times New Roman" w:cs="Times New Roman"/>
                <w:bCs/>
                <w:sz w:val="21"/>
                <w:szCs w:val="21"/>
              </w:rPr>
              <w:t>%</w:t>
            </w:r>
          </w:p>
        </w:tc>
        <w:tc>
          <w:tcPr>
            <w:tcW w:w="777" w:type="pct"/>
            <w:vAlign w:val="center"/>
          </w:tcPr>
          <w:p w14:paraId="44E533C1">
            <w:pPr>
              <w:jc w:val="center"/>
            </w:pPr>
            <w:r>
              <w:t>0.00</w:t>
            </w:r>
            <w:r>
              <w:rPr>
                <w:rFonts w:hint="eastAsia"/>
                <w:lang w:val="en-US" w:eastAsia="zh-CN"/>
              </w:rPr>
              <w:t>144</w:t>
            </w:r>
            <w:r>
              <w:t>%</w:t>
            </w:r>
          </w:p>
        </w:tc>
        <w:tc>
          <w:tcPr>
            <w:tcW w:w="777" w:type="pct"/>
            <w:vAlign w:val="center"/>
          </w:tcPr>
          <w:p w14:paraId="27FF5C04">
            <w:pPr>
              <w:jc w:val="center"/>
            </w:pPr>
            <w:r>
              <w:rPr>
                <w:rFonts w:hint="eastAsia"/>
                <w:bCs/>
                <w:lang w:val="en-US" w:eastAsia="zh-CN"/>
              </w:rPr>
              <w:t>0.00390</w:t>
            </w:r>
            <w:r>
              <w:rPr>
                <w:bCs/>
              </w:rPr>
              <w:t>%</w:t>
            </w:r>
          </w:p>
        </w:tc>
        <w:tc>
          <w:tcPr>
            <w:tcW w:w="1044" w:type="pct"/>
            <w:vAlign w:val="center"/>
          </w:tcPr>
          <w:p w14:paraId="0A79C452">
            <w:pPr>
              <w:jc w:val="center"/>
              <w:rPr>
                <w:color w:val="000000"/>
              </w:rPr>
            </w:pPr>
            <w:r>
              <w:rPr>
                <w:color w:val="000000"/>
              </w:rPr>
              <w:t>0.0</w:t>
            </w:r>
            <w:r>
              <w:rPr>
                <w:rFonts w:hint="eastAsia"/>
                <w:color w:val="000000"/>
                <w:lang w:val="en-US" w:eastAsia="zh-CN"/>
              </w:rPr>
              <w:t>078</w:t>
            </w:r>
            <w:r>
              <w:t>%</w:t>
            </w:r>
          </w:p>
        </w:tc>
      </w:tr>
      <w:tr w14:paraId="3367F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31" w:type="pct"/>
            <w:vAlign w:val="center"/>
          </w:tcPr>
          <w:p w14:paraId="77DD38E0">
            <w:pPr>
              <w:spacing w:line="288" w:lineRule="auto"/>
              <w:jc w:val="center"/>
              <w:rPr>
                <w:szCs w:val="21"/>
              </w:rPr>
            </w:pPr>
            <w:r>
              <w:rPr>
                <w:szCs w:val="21"/>
              </w:rPr>
              <w:t>功率</w:t>
            </w:r>
          </w:p>
        </w:tc>
        <w:tc>
          <w:tcPr>
            <w:tcW w:w="777" w:type="pct"/>
            <w:vAlign w:val="center"/>
          </w:tcPr>
          <w:p w14:paraId="7CDBE946">
            <w:pPr>
              <w:jc w:val="center"/>
            </w:pPr>
            <w:r>
              <w:t>0.0</w:t>
            </w:r>
            <w:r>
              <w:rPr>
                <w:rFonts w:hint="eastAsia"/>
                <w:lang w:val="en-US" w:eastAsia="zh-CN"/>
              </w:rPr>
              <w:t>000425</w:t>
            </w:r>
            <w:r>
              <w:t>%</w:t>
            </w:r>
          </w:p>
        </w:tc>
        <w:tc>
          <w:tcPr>
            <w:tcW w:w="694" w:type="pct"/>
            <w:vAlign w:val="center"/>
          </w:tcPr>
          <w:p w14:paraId="7CB5224F">
            <w:pPr>
              <w:spacing w:line="360" w:lineRule="auto"/>
              <w:jc w:val="center"/>
            </w:pPr>
            <w:r>
              <w:rPr>
                <w:rFonts w:hint="default" w:ascii="Times New Roman" w:hAnsi="Times New Roman" w:cs="Times New Roman"/>
                <w:bCs/>
                <w:sz w:val="21"/>
                <w:szCs w:val="21"/>
              </w:rPr>
              <w:t>0.011</w:t>
            </w:r>
            <w:r>
              <w:rPr>
                <w:rFonts w:hint="default" w:ascii="Times New Roman" w:hAnsi="Times New Roman" w:cs="Times New Roman"/>
                <w:bCs/>
                <w:sz w:val="21"/>
                <w:szCs w:val="21"/>
                <w:lang w:val="en-US" w:eastAsia="zh-CN"/>
              </w:rPr>
              <w:t>0</w:t>
            </w:r>
            <w:r>
              <w:rPr>
                <w:rFonts w:hint="default" w:ascii="Times New Roman" w:hAnsi="Times New Roman" w:cs="Times New Roman"/>
                <w:bCs/>
                <w:sz w:val="21"/>
                <w:szCs w:val="21"/>
              </w:rPr>
              <w:t>%</w:t>
            </w:r>
          </w:p>
        </w:tc>
        <w:tc>
          <w:tcPr>
            <w:tcW w:w="777" w:type="pct"/>
            <w:vAlign w:val="center"/>
          </w:tcPr>
          <w:p w14:paraId="2A466E76">
            <w:pPr>
              <w:jc w:val="center"/>
            </w:pPr>
            <w:r>
              <w:t>0.00</w:t>
            </w:r>
            <w:r>
              <w:rPr>
                <w:rFonts w:hint="eastAsia"/>
                <w:lang w:val="en-US" w:eastAsia="zh-CN"/>
              </w:rPr>
              <w:t>144</w:t>
            </w:r>
            <w:r>
              <w:t>%</w:t>
            </w:r>
          </w:p>
        </w:tc>
        <w:tc>
          <w:tcPr>
            <w:tcW w:w="777" w:type="pct"/>
            <w:vAlign w:val="center"/>
          </w:tcPr>
          <w:p w14:paraId="6B087470">
            <w:pPr>
              <w:jc w:val="center"/>
            </w:pPr>
            <w:r>
              <w:rPr>
                <w:rFonts w:hint="eastAsia"/>
                <w:bCs/>
                <w:lang w:val="en-US" w:eastAsia="zh-CN"/>
              </w:rPr>
              <w:t>0.0111</w:t>
            </w:r>
            <w:r>
              <w:rPr>
                <w:bCs/>
              </w:rPr>
              <w:t>%</w:t>
            </w:r>
          </w:p>
        </w:tc>
        <w:tc>
          <w:tcPr>
            <w:tcW w:w="1044" w:type="pct"/>
            <w:vAlign w:val="center"/>
          </w:tcPr>
          <w:p w14:paraId="3E67E925">
            <w:pPr>
              <w:jc w:val="center"/>
              <w:rPr>
                <w:color w:val="000000"/>
              </w:rPr>
            </w:pPr>
            <w:r>
              <w:rPr>
                <w:color w:val="000000"/>
              </w:rPr>
              <w:t>0.0</w:t>
            </w:r>
            <w:r>
              <w:rPr>
                <w:rFonts w:hint="eastAsia"/>
                <w:color w:val="000000"/>
                <w:lang w:val="en-US" w:eastAsia="zh-CN"/>
              </w:rPr>
              <w:t>22</w:t>
            </w:r>
            <w:r>
              <w:t>%</w:t>
            </w:r>
          </w:p>
        </w:tc>
      </w:tr>
      <w:tr w14:paraId="126FB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31" w:type="pct"/>
            <w:vAlign w:val="center"/>
          </w:tcPr>
          <w:p w14:paraId="6985A462">
            <w:pPr>
              <w:spacing w:line="288" w:lineRule="auto"/>
              <w:jc w:val="center"/>
              <w:rPr>
                <w:rFonts w:hint="eastAsia" w:eastAsia="宋体"/>
                <w:szCs w:val="21"/>
                <w:lang w:eastAsia="zh-CN"/>
              </w:rPr>
            </w:pPr>
            <w:r>
              <w:rPr>
                <w:rFonts w:hint="eastAsia"/>
                <w:szCs w:val="21"/>
                <w:lang w:eastAsia="zh-CN"/>
              </w:rPr>
              <w:t>频率</w:t>
            </w:r>
          </w:p>
        </w:tc>
        <w:tc>
          <w:tcPr>
            <w:tcW w:w="777" w:type="pct"/>
            <w:vAlign w:val="center"/>
          </w:tcPr>
          <w:p w14:paraId="33C37EEB">
            <w:pPr>
              <w:jc w:val="center"/>
              <w:rPr>
                <w:rFonts w:hint="eastAsia" w:eastAsia="宋体"/>
                <w:lang w:val="en-US" w:eastAsia="zh-CN"/>
              </w:rPr>
            </w:pPr>
            <w:r>
              <w:rPr>
                <w:rFonts w:hint="eastAsia"/>
                <w:lang w:val="en-US" w:eastAsia="zh-CN"/>
              </w:rPr>
              <w:t>0</w:t>
            </w:r>
            <w:r>
              <w:rPr>
                <w:rFonts w:hint="eastAsia"/>
                <w:sz w:val="20"/>
                <w:szCs w:val="21"/>
                <w:lang w:val="en-US" w:eastAsia="zh-CN"/>
              </w:rPr>
              <w:t>Hz</w:t>
            </w:r>
          </w:p>
        </w:tc>
        <w:tc>
          <w:tcPr>
            <w:tcW w:w="694" w:type="pct"/>
            <w:vAlign w:val="center"/>
          </w:tcPr>
          <w:p w14:paraId="7B683179">
            <w:pPr>
              <w:jc w:val="center"/>
              <w:rPr>
                <w:rFonts w:hint="default" w:eastAsia="宋体"/>
                <w:lang w:val="en-US" w:eastAsia="zh-CN"/>
              </w:rPr>
            </w:pPr>
            <w:r>
              <w:rPr>
                <w:rFonts w:hint="eastAsia"/>
                <w:lang w:val="en-US" w:eastAsia="zh-CN"/>
              </w:rPr>
              <w:t>0.000404</w:t>
            </w:r>
            <w:r>
              <w:rPr>
                <w:rFonts w:hint="eastAsia"/>
                <w:sz w:val="20"/>
                <w:szCs w:val="21"/>
                <w:lang w:val="en-US" w:eastAsia="zh-CN"/>
              </w:rPr>
              <w:t>Hz</w:t>
            </w:r>
          </w:p>
        </w:tc>
        <w:tc>
          <w:tcPr>
            <w:tcW w:w="777" w:type="pct"/>
            <w:vAlign w:val="center"/>
          </w:tcPr>
          <w:p w14:paraId="3BC8A48F">
            <w:pPr>
              <w:jc w:val="center"/>
            </w:pPr>
            <w:r>
              <w:rPr>
                <w:rFonts w:hint="eastAsia"/>
                <w:lang w:val="en-US" w:eastAsia="zh-CN"/>
              </w:rPr>
              <w:t>0.000144</w:t>
            </w:r>
            <w:r>
              <w:rPr>
                <w:rFonts w:hint="eastAsia"/>
                <w:sz w:val="20"/>
                <w:szCs w:val="21"/>
                <w:lang w:val="en-US" w:eastAsia="zh-CN"/>
              </w:rPr>
              <w:t>Hz</w:t>
            </w:r>
          </w:p>
        </w:tc>
        <w:tc>
          <w:tcPr>
            <w:tcW w:w="777" w:type="pct"/>
            <w:vAlign w:val="center"/>
          </w:tcPr>
          <w:p w14:paraId="3017121E">
            <w:pPr>
              <w:jc w:val="center"/>
              <w:rPr>
                <w:rFonts w:hint="default" w:eastAsia="宋体"/>
                <w:lang w:val="en-US" w:eastAsia="zh-CN"/>
              </w:rPr>
            </w:pPr>
            <w:r>
              <w:rPr>
                <w:rFonts w:hint="eastAsia"/>
                <w:lang w:val="en-US" w:eastAsia="zh-CN"/>
              </w:rPr>
              <w:t>0.00150</w:t>
            </w:r>
            <w:r>
              <w:rPr>
                <w:rFonts w:hint="eastAsia"/>
                <w:sz w:val="20"/>
                <w:szCs w:val="21"/>
                <w:lang w:val="en-US" w:eastAsia="zh-CN"/>
              </w:rPr>
              <w:t>Hz</w:t>
            </w:r>
          </w:p>
        </w:tc>
        <w:tc>
          <w:tcPr>
            <w:tcW w:w="1044" w:type="pct"/>
            <w:vAlign w:val="center"/>
          </w:tcPr>
          <w:p w14:paraId="3EF99FB8">
            <w:pPr>
              <w:jc w:val="center"/>
              <w:rPr>
                <w:color w:val="000000"/>
              </w:rPr>
            </w:pPr>
            <w:r>
              <w:rPr>
                <w:rFonts w:hint="eastAsia"/>
                <w:sz w:val="20"/>
                <w:szCs w:val="21"/>
                <w:lang w:val="en-US" w:eastAsia="zh-CN"/>
              </w:rPr>
              <w:t>0.0030Hz</w:t>
            </w:r>
          </w:p>
        </w:tc>
      </w:tr>
      <w:tr w14:paraId="6C792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31" w:type="pct"/>
            <w:vAlign w:val="center"/>
          </w:tcPr>
          <w:p w14:paraId="62639686">
            <w:pPr>
              <w:spacing w:line="288" w:lineRule="auto"/>
              <w:jc w:val="center"/>
              <w:rPr>
                <w:rFonts w:hint="eastAsia" w:eastAsia="宋体"/>
                <w:szCs w:val="21"/>
                <w:lang w:eastAsia="zh-CN"/>
              </w:rPr>
            </w:pPr>
            <w:r>
              <w:rPr>
                <w:rFonts w:hint="eastAsia"/>
                <w:szCs w:val="21"/>
                <w:lang w:eastAsia="zh-CN"/>
              </w:rPr>
              <w:t>相位</w:t>
            </w:r>
          </w:p>
        </w:tc>
        <w:tc>
          <w:tcPr>
            <w:tcW w:w="777" w:type="pct"/>
            <w:vAlign w:val="center"/>
          </w:tcPr>
          <w:p w14:paraId="21927F2E">
            <w:pPr>
              <w:jc w:val="center"/>
            </w:pPr>
            <w:r>
              <w:rPr>
                <w:rFonts w:hint="default" w:ascii="Times New Roman" w:hAnsi="Times New Roman" w:cs="Times New Roman"/>
                <w:sz w:val="21"/>
                <w:szCs w:val="21"/>
                <w:lang w:val="en-US" w:eastAsia="zh-CN"/>
              </w:rPr>
              <w:t>0.000781</w:t>
            </w:r>
            <w:r>
              <w:rPr>
                <w:rFonts w:hint="eastAsia"/>
              </w:rPr>
              <w:t>°</w:t>
            </w:r>
          </w:p>
        </w:tc>
        <w:tc>
          <w:tcPr>
            <w:tcW w:w="694" w:type="pct"/>
            <w:vAlign w:val="center"/>
          </w:tcPr>
          <w:p w14:paraId="402FF579">
            <w:pPr>
              <w:spacing w:line="360" w:lineRule="auto"/>
              <w:jc w:val="center"/>
            </w:pPr>
            <w:r>
              <w:rPr>
                <w:rFonts w:hint="default" w:ascii="Times New Roman" w:hAnsi="Times New Roman" w:cs="Times New Roman"/>
                <w:bCs/>
                <w:sz w:val="21"/>
                <w:szCs w:val="21"/>
              </w:rPr>
              <w:t>0.00</w:t>
            </w:r>
            <w:r>
              <w:rPr>
                <w:rFonts w:hint="default" w:ascii="Times New Roman" w:hAnsi="Times New Roman" w:cs="Times New Roman"/>
                <w:bCs/>
                <w:sz w:val="21"/>
                <w:szCs w:val="21"/>
                <w:lang w:val="en-US" w:eastAsia="zh-CN"/>
              </w:rPr>
              <w:t>173</w:t>
            </w:r>
            <w:r>
              <w:rPr>
                <w:rFonts w:hint="default" w:ascii="Times New Roman" w:hAnsi="Times New Roman" w:cs="Times New Roman"/>
                <w:bCs/>
                <w:sz w:val="21"/>
                <w:szCs w:val="21"/>
              </w:rPr>
              <w:t>°</w:t>
            </w:r>
          </w:p>
        </w:tc>
        <w:tc>
          <w:tcPr>
            <w:tcW w:w="777" w:type="pct"/>
            <w:vAlign w:val="center"/>
          </w:tcPr>
          <w:p w14:paraId="1EA1F114">
            <w:pPr>
              <w:jc w:val="center"/>
            </w:pPr>
            <w:r>
              <w:rPr>
                <w:bCs/>
              </w:rPr>
              <w:t>0.00</w:t>
            </w:r>
            <w:r>
              <w:rPr>
                <w:rFonts w:hint="eastAsia"/>
                <w:bCs/>
                <w:lang w:val="en-US" w:eastAsia="zh-CN"/>
              </w:rPr>
              <w:t>00577</w:t>
            </w:r>
            <w:r>
              <w:rPr>
                <w:rFonts w:hint="eastAsia"/>
                <w:bCs/>
              </w:rPr>
              <w:t>°</w:t>
            </w:r>
          </w:p>
        </w:tc>
        <w:tc>
          <w:tcPr>
            <w:tcW w:w="777" w:type="pct"/>
            <w:vAlign w:val="center"/>
          </w:tcPr>
          <w:p w14:paraId="45AA44B0">
            <w:pPr>
              <w:jc w:val="center"/>
            </w:pPr>
            <w:r>
              <w:rPr>
                <w:rFonts w:hint="eastAsia"/>
                <w:lang w:val="en-US" w:eastAsia="zh-CN"/>
              </w:rPr>
              <w:t>0.00190</w:t>
            </w:r>
            <w:r>
              <w:rPr>
                <w:rFonts w:hint="eastAsia"/>
              </w:rPr>
              <w:t>°</w:t>
            </w:r>
          </w:p>
        </w:tc>
        <w:tc>
          <w:tcPr>
            <w:tcW w:w="1044" w:type="pct"/>
            <w:vAlign w:val="center"/>
          </w:tcPr>
          <w:p w14:paraId="3019E529">
            <w:pPr>
              <w:jc w:val="center"/>
              <w:rPr>
                <w:color w:val="000000"/>
              </w:rPr>
            </w:pPr>
            <w:r>
              <w:rPr>
                <w:color w:val="000000"/>
              </w:rPr>
              <w:t>0.0</w:t>
            </w:r>
            <w:r>
              <w:rPr>
                <w:rFonts w:hint="eastAsia"/>
                <w:color w:val="000000"/>
                <w:lang w:val="en-US" w:eastAsia="zh-CN"/>
              </w:rPr>
              <w:t>038</w:t>
            </w:r>
            <w:r>
              <w:rPr>
                <w:rFonts w:hint="eastAsia"/>
              </w:rPr>
              <w:t>°</w:t>
            </w:r>
          </w:p>
        </w:tc>
      </w:tr>
    </w:tbl>
    <w:p w14:paraId="3CCF1D9D">
      <w:pPr>
        <w:spacing w:before="156" w:beforeLines="50" w:line="0" w:lineRule="atLeast"/>
        <w:rPr>
          <w:szCs w:val="21"/>
        </w:rPr>
      </w:pPr>
    </w:p>
    <w:p w14:paraId="47AB7D78">
      <w:pPr>
        <w:widowControl/>
        <w:jc w:val="left"/>
        <w:rPr>
          <w:b/>
          <w:sz w:val="24"/>
        </w:rPr>
      </w:pPr>
      <w:r>
        <w:rPr>
          <w:b/>
          <w:sz w:val="24"/>
        </w:rPr>
        <w:br w:type="page"/>
      </w:r>
    </w:p>
    <w:p w14:paraId="44BA51BF">
      <w:pPr>
        <w:spacing w:before="156" w:beforeLines="50"/>
        <w:rPr>
          <w:b/>
          <w:sz w:val="24"/>
        </w:rPr>
      </w:pPr>
      <w:r>
        <w:rPr>
          <w:rFonts w:hint="eastAsia"/>
          <w:b/>
          <w:sz w:val="24"/>
        </w:rPr>
        <w:t>二、电能测量结果不确定度评定</w:t>
      </w:r>
    </w:p>
    <w:p w14:paraId="3ADED392">
      <w:pPr>
        <w:spacing w:before="156" w:beforeLines="50"/>
      </w:pPr>
      <w:r>
        <w:rPr>
          <w:rFonts w:hint="eastAsia"/>
          <w:b/>
          <w:sz w:val="24"/>
        </w:rPr>
        <w:t>（一）概述</w:t>
      </w:r>
    </w:p>
    <w:p w14:paraId="116750F3">
      <w:pPr>
        <w:spacing w:before="156" w:beforeLines="50"/>
        <w:ind w:left="420"/>
      </w:pPr>
      <w:r>
        <w:rPr>
          <w:bCs/>
        </w:rPr>
        <w:t>1．测量依据：</w:t>
      </w:r>
      <w:r>
        <w:rPr>
          <w:rFonts w:hint="eastAsia"/>
          <w:bCs/>
        </w:rPr>
        <w:t>《</w:t>
      </w:r>
      <w:r>
        <w:rPr>
          <w:rFonts w:hint="eastAsia"/>
          <w:bCs/>
          <w:lang w:eastAsia="zh-CN"/>
        </w:rPr>
        <w:t>交流</w:t>
      </w:r>
      <w:r>
        <w:rPr>
          <w:rFonts w:hint="eastAsia"/>
          <w:bCs/>
        </w:rPr>
        <w:t>标准电能表检定规程（征求意见稿）》</w:t>
      </w:r>
    </w:p>
    <w:p w14:paraId="439923A3">
      <w:pPr>
        <w:spacing w:before="156" w:beforeLines="50"/>
        <w:ind w:left="420"/>
      </w:pPr>
      <w:r>
        <w:rPr>
          <w:bCs/>
        </w:rPr>
        <w:t>2．</w:t>
      </w:r>
      <w:r>
        <w:rPr>
          <w:rFonts w:hint="eastAsia"/>
          <w:bCs/>
        </w:rPr>
        <w:t>评定</w:t>
      </w:r>
      <w:r>
        <w:rPr>
          <w:bCs/>
        </w:rPr>
        <w:t>依据：</w:t>
      </w:r>
      <w:r>
        <w:rPr>
          <w:rFonts w:hint="eastAsia"/>
          <w:bCs/>
        </w:rPr>
        <w:t>JJF 1059.1-2012《测量不确定度评定与表示》</w:t>
      </w:r>
    </w:p>
    <w:p w14:paraId="64F9083E">
      <w:pPr>
        <w:spacing w:before="156" w:beforeLines="50"/>
        <w:ind w:left="420"/>
        <w:rPr>
          <w:bCs/>
        </w:rPr>
      </w:pPr>
      <w:r>
        <w:rPr>
          <w:bCs/>
        </w:rPr>
        <w:t>3．环境温度：（</w:t>
      </w:r>
      <w:r>
        <w:rPr>
          <w:rFonts w:hint="eastAsia"/>
          <w:bCs/>
        </w:rPr>
        <w:t>21~25</w:t>
      </w:r>
      <w:r>
        <w:rPr>
          <w:bCs/>
        </w:rPr>
        <w:t>）℃</w:t>
      </w:r>
      <w:r>
        <w:rPr>
          <w:rFonts w:hint="eastAsia"/>
          <w:bCs/>
        </w:rPr>
        <w:t>，</w:t>
      </w:r>
      <w:r>
        <w:rPr>
          <w:rFonts w:hint="eastAsia"/>
          <w:bCs/>
          <w:lang w:eastAsia="zh-CN"/>
        </w:rPr>
        <w:t>相对</w:t>
      </w:r>
      <w:r>
        <w:rPr>
          <w:rFonts w:hint="eastAsia"/>
          <w:bCs/>
        </w:rPr>
        <w:t>湿度：（45~</w:t>
      </w:r>
      <w:r>
        <w:rPr>
          <w:rFonts w:hint="eastAsia"/>
          <w:bCs/>
          <w:lang w:val="en-US" w:eastAsia="zh-CN"/>
        </w:rPr>
        <w:t>7</w:t>
      </w:r>
      <w:r>
        <w:rPr>
          <w:rFonts w:hint="eastAsia"/>
          <w:bCs/>
        </w:rPr>
        <w:t>5）%</w:t>
      </w:r>
    </w:p>
    <w:p w14:paraId="34030B11">
      <w:pPr>
        <w:spacing w:before="156" w:beforeLines="50" w:line="240" w:lineRule="atLeast"/>
        <w:ind w:left="420"/>
        <w:rPr>
          <w:rFonts w:hint="default"/>
          <w:lang w:val="en-US"/>
        </w:rPr>
      </w:pPr>
      <w:r>
        <w:rPr>
          <w:bCs/>
        </w:rPr>
        <w:t>4．</w:t>
      </w:r>
      <w:r>
        <w:t>测量标准</w:t>
      </w:r>
      <w:r>
        <w:rPr>
          <w:bCs/>
        </w:rPr>
        <w:t>：</w:t>
      </w:r>
      <w:r>
        <w:rPr>
          <w:rFonts w:hint="eastAsia"/>
          <w:bCs/>
          <w:lang w:val="en-US" w:eastAsia="zh-CN"/>
        </w:rPr>
        <w:t>0.01级</w:t>
      </w:r>
      <w:r>
        <w:rPr>
          <w:rFonts w:hint="eastAsia"/>
          <w:lang w:eastAsia="zh-CN"/>
        </w:rPr>
        <w:t>三相电能表检验装置</w:t>
      </w:r>
      <w:r>
        <w:rPr>
          <w:rFonts w:hint="eastAsia"/>
          <w:lang w:val="en-US" w:eastAsia="zh-CN"/>
        </w:rPr>
        <w:t xml:space="preserve">                                                                                                                         </w:t>
      </w:r>
    </w:p>
    <w:p w14:paraId="4C5C4E8A">
      <w:pPr>
        <w:spacing w:before="156" w:beforeLines="50" w:line="240" w:lineRule="atLeast"/>
        <w:ind w:left="420" w:firstLine="210" w:firstLineChars="100"/>
      </w:pPr>
      <w:r>
        <w:t>测量范围：电压：</w:t>
      </w:r>
      <w:r>
        <w:rPr>
          <w:rFonts w:hint="default" w:ascii="Times New Roman" w:hAnsi="Times New Roman" w:cs="Times New Roman"/>
          <w:color w:val="auto"/>
          <w:sz w:val="24"/>
        </w:rPr>
        <w:t>3×(</w:t>
      </w:r>
      <w:r>
        <w:rPr>
          <w:rFonts w:hint="default" w:ascii="Times New Roman" w:hAnsi="Times New Roman" w:cs="Times New Roman"/>
          <w:color w:val="auto"/>
          <w:sz w:val="24"/>
          <w:lang w:val="en-US" w:eastAsia="zh-CN"/>
        </w:rPr>
        <w:t>57.7</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3</w:t>
      </w:r>
      <w:r>
        <w:rPr>
          <w:rFonts w:hint="default" w:ascii="Times New Roman" w:hAnsi="Times New Roman" w:cs="Times New Roman"/>
          <w:color w:val="auto"/>
          <w:sz w:val="24"/>
        </w:rPr>
        <w:t>80)V，</w:t>
      </w:r>
      <w:r>
        <w:t>电流：</w:t>
      </w:r>
      <w:r>
        <w:rPr>
          <w:rFonts w:hint="default" w:ascii="Times New Roman" w:hAnsi="Times New Roman" w:cs="Times New Roman"/>
          <w:color w:val="auto"/>
          <w:sz w:val="24"/>
        </w:rPr>
        <w:t>3×(</w:t>
      </w:r>
      <w:r>
        <w:rPr>
          <w:rFonts w:hint="default" w:ascii="Times New Roman" w:hAnsi="Times New Roman" w:cs="Times New Roman"/>
          <w:color w:val="auto"/>
          <w:sz w:val="24"/>
          <w:lang w:val="en-US" w:eastAsia="zh-CN"/>
        </w:rPr>
        <w:t>50mA</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1</w:t>
      </w:r>
      <w:r>
        <w:rPr>
          <w:rFonts w:hint="default" w:ascii="Times New Roman" w:hAnsi="Times New Roman" w:cs="Times New Roman"/>
          <w:color w:val="auto"/>
          <w:sz w:val="24"/>
        </w:rPr>
        <w:t>00A)</w:t>
      </w:r>
    </w:p>
    <w:p w14:paraId="030F4D6F">
      <w:pPr>
        <w:spacing w:before="156" w:beforeLines="50" w:line="240" w:lineRule="atLeast"/>
        <w:ind w:firstLine="630" w:firstLineChars="300"/>
        <w:rPr>
          <w:rFonts w:hint="eastAsia" w:eastAsia="宋体"/>
          <w:lang w:val="en-US" w:eastAsia="zh-CN"/>
        </w:rPr>
      </w:pPr>
      <w:r>
        <w:t>准确度等级：电</w:t>
      </w:r>
      <w:r>
        <w:rPr>
          <w:rFonts w:hint="eastAsia"/>
          <w:lang w:eastAsia="zh-CN"/>
        </w:rPr>
        <w:t>能</w:t>
      </w:r>
      <w:r>
        <w:t>：±0.</w:t>
      </w:r>
      <w:r>
        <w:rPr>
          <w:rFonts w:hint="eastAsia"/>
          <w:lang w:val="en-US" w:eastAsia="zh-CN"/>
        </w:rPr>
        <w:t>01</w:t>
      </w:r>
      <w:r>
        <w:rPr>
          <w:rFonts w:hint="eastAsia"/>
        </w:rPr>
        <w:t>%</w:t>
      </w:r>
    </w:p>
    <w:p w14:paraId="2A648892">
      <w:pPr>
        <w:spacing w:before="156" w:beforeLines="50"/>
        <w:ind w:firstLine="420" w:firstLineChars="200"/>
        <w:rPr>
          <w:rFonts w:hint="eastAsia"/>
          <w:lang w:eastAsia="zh-CN"/>
        </w:rPr>
      </w:pPr>
      <w:r>
        <w:rPr>
          <w:bCs/>
        </w:rPr>
        <w:t>5．被测</w:t>
      </w:r>
      <w:r>
        <w:rPr>
          <w:rFonts w:hint="eastAsia"/>
          <w:bCs/>
        </w:rPr>
        <w:t>对象</w:t>
      </w:r>
      <w:r>
        <w:rPr>
          <w:bCs/>
        </w:rPr>
        <w:t>：</w:t>
      </w:r>
      <w:r>
        <w:rPr>
          <w:rFonts w:hint="eastAsia"/>
          <w:bCs/>
        </w:rPr>
        <w:t>0.</w:t>
      </w:r>
      <w:r>
        <w:rPr>
          <w:rFonts w:hint="eastAsia"/>
          <w:bCs/>
          <w:lang w:val="en-US" w:eastAsia="zh-CN"/>
        </w:rPr>
        <w:t>05</w:t>
      </w:r>
      <w:r>
        <w:rPr>
          <w:rFonts w:hint="eastAsia"/>
          <w:bCs/>
        </w:rPr>
        <w:t>级</w:t>
      </w:r>
      <w:r>
        <w:rPr>
          <w:rFonts w:hint="eastAsia"/>
          <w:lang w:val="en-US" w:eastAsia="zh-CN"/>
        </w:rPr>
        <w:t>三相多功能标准电能表</w:t>
      </w:r>
    </w:p>
    <w:p w14:paraId="7E8E19A9">
      <w:pPr>
        <w:spacing w:before="156" w:beforeLines="50" w:line="240" w:lineRule="atLeast"/>
        <w:ind w:left="420"/>
        <w:rPr>
          <w:rFonts w:hint="eastAsia"/>
        </w:rPr>
      </w:pPr>
      <w:r>
        <w:t>6．测量</w:t>
      </w:r>
      <w:r>
        <w:rPr>
          <w:rFonts w:hint="eastAsia"/>
        </w:rPr>
        <w:t>过程</w:t>
      </w:r>
      <w:r>
        <w:t>：采用</w:t>
      </w:r>
      <w:r>
        <w:rPr>
          <w:rFonts w:hint="eastAsia"/>
        </w:rPr>
        <w:t>直接</w:t>
      </w:r>
      <w:r>
        <w:t>比较法测量</w:t>
      </w:r>
      <w:r>
        <w:rPr>
          <w:rFonts w:hint="eastAsia"/>
        </w:rPr>
        <w:t>。测量标准输出一定</w:t>
      </w:r>
      <w:r>
        <w:t>电</w:t>
      </w:r>
      <w:r>
        <w:rPr>
          <w:rFonts w:hint="eastAsia"/>
          <w:lang w:eastAsia="zh-CN"/>
        </w:rPr>
        <w:t>能</w:t>
      </w:r>
      <w:r>
        <w:rPr>
          <w:rFonts w:hint="eastAsia"/>
        </w:rPr>
        <w:t>给</w:t>
      </w:r>
      <w:r>
        <w:rPr>
          <w:bCs/>
          <w:color w:val="000000"/>
          <w:szCs w:val="21"/>
        </w:rPr>
        <w:t>被检电能表</w:t>
      </w:r>
      <w:r>
        <w:rPr>
          <w:rFonts w:hint="eastAsia"/>
        </w:rPr>
        <w:t>，由测量标准直接给出被检电能表在该</w:t>
      </w:r>
      <w:r>
        <w:t>电</w:t>
      </w:r>
      <w:r>
        <w:rPr>
          <w:rFonts w:hint="eastAsia"/>
          <w:lang w:eastAsia="zh-CN"/>
        </w:rPr>
        <w:t>能</w:t>
      </w:r>
      <w:r>
        <w:rPr>
          <w:rFonts w:hint="eastAsia"/>
        </w:rPr>
        <w:t>下的误差。</w:t>
      </w:r>
    </w:p>
    <w:p w14:paraId="5EDB4C9E">
      <w:pPr>
        <w:spacing w:before="156" w:beforeLines="50"/>
        <w:rPr>
          <w:b/>
          <w:bCs/>
          <w:sz w:val="24"/>
        </w:rPr>
      </w:pPr>
      <w:r>
        <w:rPr>
          <w:rFonts w:hint="eastAsia"/>
          <w:b/>
          <w:bCs/>
          <w:sz w:val="24"/>
        </w:rPr>
        <w:t>（二）数学模型</w:t>
      </w:r>
    </w:p>
    <w:p w14:paraId="1E173419">
      <w:pPr>
        <w:spacing w:before="156" w:beforeLines="50"/>
        <w:jc w:val="center"/>
        <w:rPr>
          <w:bCs/>
        </w:rPr>
      </w:pPr>
      <w:r>
        <w:rPr>
          <w:position w:val="-12"/>
        </w:rPr>
        <w:object>
          <v:shape id="_x0000_i1063" o:spt="75" type="#_x0000_t75" style="height:17.85pt;width:73.15pt;" o:ole="t" filled="f" o:preferrelative="t" stroked="f" coordsize="21600,21600">
            <v:path/>
            <v:fill on="f" focussize="0,0"/>
            <v:stroke on="f" joinstyle="miter"/>
            <v:imagedata r:id="rId13" o:title=""/>
            <o:lock v:ext="edit" aspectratio="t"/>
            <w10:wrap type="none"/>
            <w10:anchorlock/>
          </v:shape>
          <o:OLEObject Type="Embed" ProgID="Equation.DSMT4" ShapeID="_x0000_i1063" DrawAspect="Content" ObjectID="_1468075763" r:id="rId70">
            <o:LockedField>false</o:LockedField>
          </o:OLEObject>
        </w:object>
      </w:r>
    </w:p>
    <w:p w14:paraId="30675AB9">
      <w:pPr>
        <w:spacing w:before="156" w:beforeLines="50"/>
        <w:ind w:firstLine="420" w:firstLineChars="200"/>
        <w:rPr>
          <w:bCs/>
        </w:rPr>
      </w:pPr>
      <w:r>
        <w:rPr>
          <w:bCs/>
        </w:rPr>
        <w:sym w:font="Symbol" w:char="F067"/>
      </w:r>
      <w:r>
        <w:rPr>
          <w:bCs/>
        </w:rPr>
        <w:t>：</w:t>
      </w:r>
      <w:r>
        <w:rPr>
          <w:rFonts w:hint="eastAsia"/>
          <w:bCs/>
        </w:rPr>
        <w:t xml:space="preserve"> 测量结果，单位为%；</w:t>
      </w:r>
    </w:p>
    <w:p w14:paraId="474BC857">
      <w:pPr>
        <w:spacing w:before="156" w:beforeLines="50"/>
        <w:ind w:firstLine="420" w:firstLineChars="200"/>
        <w:rPr>
          <w:bCs/>
        </w:rPr>
      </w:pPr>
      <w:r>
        <w:rPr>
          <w:bCs/>
        </w:rPr>
        <w:sym w:font="Symbol" w:char="F067"/>
      </w:r>
      <w:r>
        <w:rPr>
          <w:bCs/>
          <w:vertAlign w:val="subscript"/>
        </w:rPr>
        <w:t>1</w:t>
      </w:r>
      <w:r>
        <w:rPr>
          <w:bCs/>
        </w:rPr>
        <w:t>：</w:t>
      </w:r>
      <w:r>
        <w:rPr>
          <w:rFonts w:hint="eastAsia"/>
          <w:bCs/>
        </w:rPr>
        <w:t>测量标准上测得的被检标准电能表的</w:t>
      </w:r>
      <w:r>
        <w:rPr>
          <w:rFonts w:hint="eastAsia"/>
          <w:bCs/>
          <w:lang w:eastAsia="zh-CN"/>
        </w:rPr>
        <w:t>相对</w:t>
      </w:r>
      <w:r>
        <w:rPr>
          <w:rFonts w:hint="eastAsia"/>
          <w:bCs/>
        </w:rPr>
        <w:t>误差，单位为%；</w:t>
      </w:r>
    </w:p>
    <w:p w14:paraId="140463AB">
      <w:pPr>
        <w:spacing w:before="156" w:beforeLines="50"/>
        <w:ind w:firstLine="420" w:firstLineChars="200"/>
        <w:rPr>
          <w:bCs/>
        </w:rPr>
      </w:pPr>
      <w:r>
        <w:rPr>
          <w:bCs/>
        </w:rPr>
        <w:sym w:font="Symbol" w:char="F067"/>
      </w:r>
      <w:r>
        <w:rPr>
          <w:bCs/>
          <w:vertAlign w:val="subscript"/>
        </w:rPr>
        <w:t>2</w:t>
      </w:r>
      <w:r>
        <w:rPr>
          <w:bCs/>
        </w:rPr>
        <w:t>：</w:t>
      </w:r>
      <w:r>
        <w:rPr>
          <w:rFonts w:hint="eastAsia"/>
          <w:bCs/>
        </w:rPr>
        <w:t>测量标准相对于电能基准参考量值的</w:t>
      </w:r>
      <w:r>
        <w:rPr>
          <w:rFonts w:hint="eastAsia"/>
          <w:bCs/>
          <w:lang w:eastAsia="zh-CN"/>
        </w:rPr>
        <w:t>相对</w:t>
      </w:r>
      <w:r>
        <w:rPr>
          <w:rFonts w:hint="eastAsia"/>
          <w:bCs/>
        </w:rPr>
        <w:t>误差，单位为%；</w:t>
      </w:r>
    </w:p>
    <w:p w14:paraId="556AB6E2">
      <w:pPr>
        <w:spacing w:before="156" w:beforeLines="50"/>
        <w:ind w:firstLine="420" w:firstLineChars="200"/>
        <w:rPr>
          <w:bCs/>
        </w:rPr>
      </w:pPr>
      <w:r>
        <w:rPr>
          <w:bCs/>
        </w:rPr>
        <w:sym w:font="Symbol" w:char="F067"/>
      </w:r>
      <w:r>
        <w:rPr>
          <w:bCs/>
          <w:vertAlign w:val="subscript"/>
        </w:rPr>
        <w:t>3</w:t>
      </w:r>
      <w:r>
        <w:rPr>
          <w:bCs/>
        </w:rPr>
        <w:t>：</w:t>
      </w:r>
      <w:r>
        <w:rPr>
          <w:rFonts w:hint="eastAsia"/>
          <w:bCs/>
        </w:rPr>
        <w:t>被检标准电能表</w:t>
      </w:r>
      <w:r>
        <w:rPr>
          <w:rFonts w:hint="eastAsia"/>
          <w:bCs/>
          <w:lang w:eastAsia="zh-CN"/>
        </w:rPr>
        <w:t>相对</w:t>
      </w:r>
      <w:r>
        <w:rPr>
          <w:rFonts w:hint="eastAsia"/>
          <w:bCs/>
        </w:rPr>
        <w:t>误差的修约值，单位为%；</w:t>
      </w:r>
    </w:p>
    <w:p w14:paraId="35EDA590">
      <w:pPr>
        <w:spacing w:before="156" w:beforeLines="50"/>
        <w:ind w:firstLine="420" w:firstLineChars="200"/>
        <w:rPr>
          <w:bCs/>
        </w:rPr>
      </w:pPr>
      <w:r>
        <w:rPr>
          <w:bCs/>
        </w:rPr>
        <w:t>灵敏系数：C=</w:t>
      </w:r>
      <w:r>
        <w:rPr>
          <w:bCs/>
        </w:rPr>
        <w:sym w:font="Symbol" w:char="F0B6"/>
      </w:r>
      <w:r>
        <w:rPr>
          <w:bCs/>
        </w:rPr>
        <w:sym w:font="Symbol" w:char="F067"/>
      </w:r>
      <w:r>
        <w:rPr>
          <w:bCs/>
        </w:rPr>
        <w:t>/</w:t>
      </w:r>
      <w:r>
        <w:rPr>
          <w:bCs/>
        </w:rPr>
        <w:sym w:font="Symbol" w:char="F0B6"/>
      </w:r>
      <w:r>
        <w:rPr>
          <w:bCs/>
        </w:rPr>
        <w:sym w:font="Symbol" w:char="F067"/>
      </w:r>
      <w:r>
        <w:rPr>
          <w:bCs/>
          <w:vertAlign w:val="subscript"/>
        </w:rPr>
        <w:t>1</w:t>
      </w:r>
      <w:r>
        <w:rPr>
          <w:bCs/>
        </w:rPr>
        <w:t>=1，C=</w:t>
      </w:r>
      <w:r>
        <w:rPr>
          <w:bCs/>
        </w:rPr>
        <w:sym w:font="Symbol" w:char="F0B6"/>
      </w:r>
      <w:r>
        <w:rPr>
          <w:bCs/>
        </w:rPr>
        <w:sym w:font="Symbol" w:char="F067"/>
      </w:r>
      <w:r>
        <w:rPr>
          <w:bCs/>
        </w:rPr>
        <w:t>/</w:t>
      </w:r>
      <w:r>
        <w:rPr>
          <w:bCs/>
        </w:rPr>
        <w:sym w:font="Symbol" w:char="F0B6"/>
      </w:r>
      <w:r>
        <w:rPr>
          <w:bCs/>
        </w:rPr>
        <w:sym w:font="Symbol" w:char="F067"/>
      </w:r>
      <w:r>
        <w:rPr>
          <w:bCs/>
          <w:vertAlign w:val="subscript"/>
        </w:rPr>
        <w:t>2</w:t>
      </w:r>
      <w:r>
        <w:rPr>
          <w:bCs/>
        </w:rPr>
        <w:t>=1，C=</w:t>
      </w:r>
      <w:r>
        <w:rPr>
          <w:bCs/>
        </w:rPr>
        <w:sym w:font="Symbol" w:char="F0B6"/>
      </w:r>
      <w:r>
        <w:rPr>
          <w:bCs/>
        </w:rPr>
        <w:sym w:font="Symbol" w:char="F067"/>
      </w:r>
      <w:r>
        <w:rPr>
          <w:bCs/>
        </w:rPr>
        <w:t>/</w:t>
      </w:r>
      <w:r>
        <w:rPr>
          <w:bCs/>
        </w:rPr>
        <w:sym w:font="Symbol" w:char="F0B6"/>
      </w:r>
      <w:r>
        <w:rPr>
          <w:bCs/>
        </w:rPr>
        <w:sym w:font="Symbol" w:char="F067"/>
      </w:r>
      <w:r>
        <w:rPr>
          <w:bCs/>
          <w:vertAlign w:val="subscript"/>
        </w:rPr>
        <w:t>3</w:t>
      </w:r>
      <w:r>
        <w:rPr>
          <w:bCs/>
        </w:rPr>
        <w:t>=1。</w:t>
      </w:r>
    </w:p>
    <w:p w14:paraId="7583F640">
      <w:pPr>
        <w:spacing w:before="156" w:beforeLines="50"/>
        <w:rPr>
          <w:b/>
          <w:bCs/>
          <w:sz w:val="24"/>
        </w:rPr>
      </w:pPr>
      <w:r>
        <w:rPr>
          <w:rFonts w:hint="eastAsia"/>
          <w:b/>
          <w:bCs/>
          <w:sz w:val="24"/>
        </w:rPr>
        <w:t>（三）标准不确定度的评定</w:t>
      </w:r>
    </w:p>
    <w:p w14:paraId="628ADF0C">
      <w:pPr>
        <w:spacing w:line="360" w:lineRule="auto"/>
        <w:ind w:firstLine="420" w:firstLineChars="200"/>
        <w:rPr>
          <w:bCs/>
        </w:rPr>
      </w:pPr>
      <w:r>
        <w:rPr>
          <w:rFonts w:hint="eastAsia"/>
          <w:bCs/>
        </w:rPr>
        <w:t>用测量标准测量被测对象，得到</w:t>
      </w:r>
      <w:r>
        <w:rPr>
          <w:rFonts w:hint="eastAsia"/>
          <w:bCs/>
          <w:lang w:eastAsia="zh-CN"/>
        </w:rPr>
        <w:t>电能</w:t>
      </w:r>
      <w:r>
        <w:rPr>
          <w:rFonts w:hint="eastAsia"/>
          <w:bCs/>
        </w:rPr>
        <w:t>测量值的误差，主要由测量重复性、测量标准的误差和测量结果的修约间距引入。</w:t>
      </w:r>
    </w:p>
    <w:p w14:paraId="049BBB7C">
      <w:pPr>
        <w:spacing w:line="360" w:lineRule="auto"/>
        <w:ind w:firstLine="420" w:firstLineChars="200"/>
      </w:pPr>
      <w:r>
        <w:rPr>
          <w:bCs/>
        </w:rPr>
        <w:sym w:font="Symbol" w:char="F067"/>
      </w:r>
      <w:r>
        <w:rPr>
          <w:bCs/>
          <w:vertAlign w:val="subscript"/>
        </w:rPr>
        <w:t>1</w:t>
      </w:r>
      <w:r>
        <w:rPr>
          <w:rFonts w:hint="eastAsia"/>
          <w:bCs/>
        </w:rPr>
        <w:t>的不确定度主要来源为测量重复性引入的标准不确定度分量</w:t>
      </w:r>
      <w:r>
        <w:rPr>
          <w:bCs/>
          <w:position w:val="-12"/>
        </w:rPr>
        <w:object>
          <v:shape id="_x0000_i1064"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64" DrawAspect="Content" ObjectID="_1468075764" r:id="rId71">
            <o:LockedField>false</o:LockedField>
          </o:OLEObject>
        </w:object>
      </w:r>
      <w:r>
        <w:rPr>
          <w:bCs/>
        </w:rPr>
        <w:t>——A类评定</w:t>
      </w:r>
    </w:p>
    <w:p w14:paraId="65743BA4">
      <w:pPr>
        <w:spacing w:line="360" w:lineRule="auto"/>
        <w:ind w:firstLine="420" w:firstLineChars="200"/>
        <w:rPr>
          <w:bCs/>
        </w:rPr>
      </w:pPr>
      <w:r>
        <w:rPr>
          <w:bCs/>
        </w:rPr>
        <w:sym w:font="Symbol" w:char="F067"/>
      </w:r>
      <w:r>
        <w:rPr>
          <w:bCs/>
          <w:vertAlign w:val="subscript"/>
        </w:rPr>
        <w:t>2</w:t>
      </w:r>
      <w:r>
        <w:rPr>
          <w:rFonts w:hint="eastAsia"/>
        </w:rPr>
        <w:t>的不确定度</w:t>
      </w:r>
      <w:r>
        <w:rPr>
          <w:rFonts w:hint="eastAsia"/>
          <w:bCs/>
        </w:rPr>
        <w:t>主要</w:t>
      </w:r>
      <w:r>
        <w:rPr>
          <w:rFonts w:hint="eastAsia"/>
        </w:rPr>
        <w:t>来源为测量标准的误差引入的标准不确定度分量</w:t>
      </w:r>
      <w:r>
        <w:rPr>
          <w:bCs/>
          <w:position w:val="-12"/>
        </w:rPr>
        <w:object>
          <v:shape id="_x0000_i1065" o:spt="75" type="#_x0000_t75" style="height:19.6pt;width:13.25pt;" o:ole="t" filled="f" o:preferrelative="t" stroked="f" coordsize="21600,21600">
            <v:path/>
            <v:fill on="f" focussize="0,0"/>
            <v:stroke on="f" joinstyle="miter"/>
            <v:imagedata r:id="rId17" o:title=""/>
            <o:lock v:ext="edit" aspectratio="t"/>
            <w10:wrap type="none"/>
            <w10:anchorlock/>
          </v:shape>
          <o:OLEObject Type="Embed" ProgID="Equation.DSMT4" ShapeID="_x0000_i1065" DrawAspect="Content" ObjectID="_1468075765" r:id="rId72">
            <o:LockedField>false</o:LockedField>
          </o:OLEObject>
        </w:object>
      </w:r>
      <w:r>
        <w:rPr>
          <w:bCs/>
        </w:rPr>
        <w:t>——B类评定</w:t>
      </w:r>
    </w:p>
    <w:p w14:paraId="072CD313">
      <w:pPr>
        <w:spacing w:line="360" w:lineRule="auto"/>
        <w:ind w:firstLine="420" w:firstLineChars="200"/>
        <w:rPr>
          <w:bCs/>
        </w:rPr>
      </w:pPr>
      <w:r>
        <w:rPr>
          <w:bCs/>
        </w:rPr>
        <w:sym w:font="Symbol" w:char="F067"/>
      </w:r>
      <w:r>
        <w:rPr>
          <w:bCs/>
          <w:vertAlign w:val="subscript"/>
        </w:rPr>
        <w:t>3</w:t>
      </w:r>
      <w:r>
        <w:rPr>
          <w:rFonts w:hint="eastAsia"/>
          <w:bCs/>
          <w:szCs w:val="21"/>
        </w:rPr>
        <w:t>的不确定度</w:t>
      </w:r>
      <w:r>
        <w:rPr>
          <w:rFonts w:hint="eastAsia"/>
          <w:bCs/>
        </w:rPr>
        <w:t>主要</w:t>
      </w:r>
      <w:r>
        <w:rPr>
          <w:rFonts w:hint="eastAsia"/>
          <w:bCs/>
          <w:szCs w:val="21"/>
        </w:rPr>
        <w:t>来源为测量结果的修约间距引入的标准不确定度分量</w:t>
      </w:r>
      <w:r>
        <w:rPr>
          <w:bCs/>
          <w:position w:val="-12"/>
        </w:rPr>
        <w:object>
          <v:shape id="_x0000_i1066" o:spt="75" type="#_x0000_t75" style="height:19.6pt;width:13.25pt;" o:ole="t" filled="f" o:preferrelative="t" stroked="f" coordsize="21600,21600">
            <v:path/>
            <v:fill on="f" focussize="0,0"/>
            <v:stroke on="f" joinstyle="miter"/>
            <v:imagedata r:id="rId19" o:title=""/>
            <o:lock v:ext="edit" aspectratio="t"/>
            <w10:wrap type="none"/>
            <w10:anchorlock/>
          </v:shape>
          <o:OLEObject Type="Embed" ProgID="Equation.DSMT4" ShapeID="_x0000_i1066" DrawAspect="Content" ObjectID="_1468075766" r:id="rId73">
            <o:LockedField>false</o:LockedField>
          </o:OLEObject>
        </w:object>
      </w:r>
      <w:r>
        <w:rPr>
          <w:bCs/>
        </w:rPr>
        <w:t>——B类评定</w:t>
      </w:r>
    </w:p>
    <w:p w14:paraId="66DAD264">
      <w:pPr>
        <w:spacing w:before="156" w:beforeLines="50"/>
        <w:ind w:firstLine="420" w:firstLineChars="200"/>
      </w:pPr>
      <w:r>
        <w:t>1．</w:t>
      </w:r>
      <w:r>
        <w:rPr>
          <w:rFonts w:hint="eastAsia"/>
          <w:bCs/>
        </w:rPr>
        <w:t>测量重复性引入的标准不确定度分量</w:t>
      </w:r>
      <w:r>
        <w:rPr>
          <w:bCs/>
          <w:position w:val="-12"/>
        </w:rPr>
        <w:object>
          <v:shape id="_x0000_i1067"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67" DrawAspect="Content" ObjectID="_1468075767" r:id="rId74">
            <o:LockedField>false</o:LockedField>
          </o:OLEObject>
        </w:object>
      </w:r>
    </w:p>
    <w:p w14:paraId="07AE59FA">
      <w:pPr>
        <w:spacing w:line="360" w:lineRule="auto"/>
        <w:ind w:firstLine="420" w:firstLineChars="200"/>
        <w:rPr>
          <w:szCs w:val="28"/>
        </w:rPr>
      </w:pPr>
      <w:r>
        <w:rPr>
          <w:rFonts w:hint="eastAsia"/>
          <w:bCs/>
        </w:rPr>
        <w:t>在重复性条件</w:t>
      </w:r>
      <w:r>
        <w:rPr>
          <w:rFonts w:hint="eastAsia"/>
          <w:bCs/>
          <w:szCs w:val="21"/>
        </w:rPr>
        <w:t>下，用测量标准对</w:t>
      </w:r>
      <w:r>
        <w:rPr>
          <w:rFonts w:hint="eastAsia"/>
          <w:bCs/>
        </w:rPr>
        <w:t>被测对象</w:t>
      </w:r>
      <w:r>
        <w:rPr>
          <w:rFonts w:hint="eastAsia"/>
          <w:bCs/>
          <w:szCs w:val="21"/>
        </w:rPr>
        <w:t>在三相四线平衡负载，正向有功，</w:t>
      </w:r>
      <w:r>
        <w:rPr>
          <w:bCs/>
          <w:szCs w:val="21"/>
        </w:rPr>
        <w:t>电压220V、电流5A、</w:t>
      </w:r>
      <w:r>
        <w:rPr>
          <w:rFonts w:hint="eastAsia"/>
          <w:bCs/>
          <w:szCs w:val="21"/>
          <w:lang w:val="en-US" w:eastAsia="zh-CN"/>
        </w:rPr>
        <w:t>50Hz、</w:t>
      </w:r>
      <w:r>
        <w:rPr>
          <w:rFonts w:hint="eastAsia"/>
          <w:bCs/>
          <w:szCs w:val="21"/>
        </w:rPr>
        <w:t>功率因数</w:t>
      </w:r>
      <w:r>
        <w:rPr>
          <w:bCs/>
          <w:szCs w:val="21"/>
        </w:rPr>
        <w:t>为</w:t>
      </w:r>
      <w:r>
        <w:rPr>
          <w:rFonts w:hint="eastAsia"/>
          <w:bCs/>
          <w:szCs w:val="21"/>
        </w:rPr>
        <w:t>1的情况下进行10次独立重复测量，以其独立观测列作为测量结果。测量结果见表</w:t>
      </w:r>
      <w:r>
        <w:rPr>
          <w:rFonts w:hint="eastAsia"/>
          <w:bCs/>
          <w:szCs w:val="21"/>
          <w:lang w:val="en-US" w:eastAsia="zh-CN"/>
        </w:rPr>
        <w:t>5</w:t>
      </w:r>
      <w:r>
        <w:rPr>
          <w:rFonts w:hint="eastAsia"/>
          <w:bCs/>
          <w:szCs w:val="21"/>
        </w:rPr>
        <w:t>，其中，</w:t>
      </w:r>
      <w:r>
        <w:rPr>
          <w:i/>
        </w:rPr>
        <w:t>S</w:t>
      </w:r>
      <w:r>
        <w:t>=</w:t>
      </w:r>
      <w:r>
        <w:rPr>
          <w:position w:val="-30"/>
          <w:sz w:val="18"/>
          <w:szCs w:val="18"/>
        </w:rPr>
        <w:object>
          <v:shape id="_x0000_i1099" o:spt="75" type="#_x0000_t75" style="height:29.95pt;width:66.25pt;" o:ole="t" filled="f" o:preferrelative="t" stroked="f" coordsize="21600,21600">
            <v:path/>
            <v:fill on="f" focussize="0,0"/>
            <v:stroke on="f" joinstyle="miter"/>
            <v:imagedata r:id="rId22" o:title=""/>
            <o:lock v:ext="edit" aspectratio="t"/>
            <w10:wrap type="none"/>
            <w10:anchorlock/>
          </v:shape>
          <o:OLEObject Type="Embed" ProgID="Equation.3" ShapeID="_x0000_i1099" DrawAspect="Content" ObjectID="_1468075768" r:id="rId75">
            <o:LockedField>false</o:LockedField>
          </o:OLEObject>
        </w:object>
      </w:r>
      <w:r>
        <w:rPr>
          <w:sz w:val="18"/>
          <w:szCs w:val="18"/>
        </w:rPr>
        <w:t>%</w:t>
      </w:r>
      <w:r>
        <w:rPr>
          <w:szCs w:val="28"/>
        </w:rPr>
        <w:t>。</w:t>
      </w:r>
    </w:p>
    <w:p w14:paraId="34BF6674">
      <w:pPr>
        <w:snapToGrid w:val="0"/>
        <w:spacing w:before="156" w:beforeLines="50"/>
        <w:rPr>
          <w:szCs w:val="21"/>
        </w:rPr>
      </w:pPr>
    </w:p>
    <w:p w14:paraId="2DCA2E1C">
      <w:pPr>
        <w:jc w:val="center"/>
        <w:rPr>
          <w:bCs/>
        </w:rPr>
      </w:pPr>
      <w:r>
        <w:rPr>
          <w:rFonts w:hint="eastAsia"/>
          <w:bCs/>
        </w:rPr>
        <w:t>表</w:t>
      </w:r>
      <w:r>
        <w:rPr>
          <w:bCs/>
        </w:rPr>
        <w:t>5</w:t>
      </w:r>
    </w:p>
    <w:tbl>
      <w:tblPr>
        <w:tblStyle w:val="7"/>
        <w:tblW w:w="90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7"/>
        <w:gridCol w:w="722"/>
        <w:gridCol w:w="723"/>
        <w:gridCol w:w="723"/>
        <w:gridCol w:w="724"/>
        <w:gridCol w:w="723"/>
        <w:gridCol w:w="723"/>
        <w:gridCol w:w="723"/>
        <w:gridCol w:w="724"/>
        <w:gridCol w:w="723"/>
        <w:gridCol w:w="755"/>
        <w:gridCol w:w="674"/>
      </w:tblGrid>
      <w:tr w14:paraId="1EF78D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1" w:hRule="exact"/>
          <w:jc w:val="center"/>
        </w:trPr>
        <w:tc>
          <w:tcPr>
            <w:tcW w:w="1067" w:type="dxa"/>
            <w:vMerge w:val="restart"/>
            <w:vAlign w:val="center"/>
          </w:tcPr>
          <w:p w14:paraId="4057A3F7">
            <w:pPr>
              <w:jc w:val="center"/>
              <w:rPr>
                <w:szCs w:val="21"/>
              </w:rPr>
            </w:pPr>
            <w:r>
              <w:rPr>
                <w:szCs w:val="21"/>
              </w:rPr>
              <w:t>测量点</w:t>
            </w:r>
          </w:p>
        </w:tc>
        <w:tc>
          <w:tcPr>
            <w:tcW w:w="7263" w:type="dxa"/>
            <w:gridSpan w:val="10"/>
            <w:vAlign w:val="center"/>
          </w:tcPr>
          <w:p w14:paraId="7D3A129E">
            <w:pPr>
              <w:jc w:val="center"/>
              <w:rPr>
                <w:snapToGrid w:val="0"/>
                <w:kern w:val="0"/>
                <w:szCs w:val="21"/>
              </w:rPr>
            </w:pPr>
            <w:r>
              <w:rPr>
                <w:snapToGrid w:val="0"/>
                <w:kern w:val="0"/>
                <w:szCs w:val="21"/>
              </w:rPr>
              <w:t>测量结果</w:t>
            </w:r>
            <w:r>
              <w:rPr>
                <w:szCs w:val="21"/>
              </w:rPr>
              <w:t>（%）</w:t>
            </w:r>
          </w:p>
        </w:tc>
        <w:tc>
          <w:tcPr>
            <w:tcW w:w="674" w:type="dxa"/>
            <w:vMerge w:val="restart"/>
            <w:vAlign w:val="center"/>
          </w:tcPr>
          <w:p w14:paraId="37E93A13">
            <w:pPr>
              <w:jc w:val="center"/>
              <w:rPr>
                <w:snapToGrid w:val="0"/>
                <w:kern w:val="0"/>
                <w:szCs w:val="21"/>
              </w:rPr>
            </w:pPr>
            <w:r>
              <w:rPr>
                <w:rFonts w:hint="eastAsia"/>
                <w:snapToGrid w:val="0"/>
                <w:kern w:val="0"/>
                <w:szCs w:val="21"/>
              </w:rPr>
              <w:t>试验</w:t>
            </w:r>
            <w:r>
              <w:rPr>
                <w:snapToGrid w:val="0"/>
                <w:kern w:val="0"/>
                <w:szCs w:val="21"/>
              </w:rPr>
              <w:t xml:space="preserve">    标准差</w:t>
            </w:r>
            <w:r>
              <w:rPr>
                <w:i/>
              </w:rPr>
              <w:t>S</w:t>
            </w:r>
            <w:r>
              <w:rPr>
                <w:szCs w:val="21"/>
              </w:rPr>
              <w:t>（%）</w:t>
            </w:r>
          </w:p>
          <w:p w14:paraId="0965BC5A">
            <w:pPr>
              <w:jc w:val="center"/>
              <w:rPr>
                <w:snapToGrid w:val="0"/>
                <w:kern w:val="0"/>
                <w:szCs w:val="21"/>
              </w:rPr>
            </w:pPr>
          </w:p>
        </w:tc>
      </w:tr>
      <w:tr w14:paraId="62FE0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7" w:hRule="exact"/>
          <w:jc w:val="center"/>
        </w:trPr>
        <w:tc>
          <w:tcPr>
            <w:tcW w:w="1067" w:type="dxa"/>
            <w:vMerge w:val="continue"/>
            <w:vAlign w:val="center"/>
          </w:tcPr>
          <w:p w14:paraId="19EFF84D">
            <w:pPr>
              <w:jc w:val="center"/>
              <w:rPr>
                <w:szCs w:val="21"/>
                <w:highlight w:val="yellow"/>
              </w:rPr>
            </w:pPr>
          </w:p>
        </w:tc>
        <w:tc>
          <w:tcPr>
            <w:tcW w:w="722" w:type="dxa"/>
            <w:vAlign w:val="center"/>
          </w:tcPr>
          <w:p w14:paraId="26156C9A">
            <w:pPr>
              <w:spacing w:line="300" w:lineRule="exact"/>
              <w:jc w:val="center"/>
            </w:pPr>
            <w:r>
              <w:rPr>
                <w:rFonts w:hint="eastAsia"/>
                <w:snapToGrid w:val="0"/>
                <w:kern w:val="0"/>
                <w:sz w:val="20"/>
                <w:szCs w:val="21"/>
                <w:lang w:val="en-US" w:eastAsia="zh-CN"/>
              </w:rPr>
              <w:t>1</w:t>
            </w:r>
          </w:p>
        </w:tc>
        <w:tc>
          <w:tcPr>
            <w:tcW w:w="723" w:type="dxa"/>
            <w:vAlign w:val="center"/>
          </w:tcPr>
          <w:p w14:paraId="1EF4267D">
            <w:pPr>
              <w:spacing w:line="300" w:lineRule="exact"/>
              <w:jc w:val="center"/>
            </w:pPr>
            <w:r>
              <w:rPr>
                <w:rFonts w:hint="eastAsia"/>
                <w:snapToGrid w:val="0"/>
                <w:kern w:val="0"/>
                <w:sz w:val="20"/>
                <w:szCs w:val="21"/>
                <w:lang w:val="en-US" w:eastAsia="zh-CN"/>
              </w:rPr>
              <w:t>2</w:t>
            </w:r>
          </w:p>
        </w:tc>
        <w:tc>
          <w:tcPr>
            <w:tcW w:w="723" w:type="dxa"/>
            <w:vAlign w:val="center"/>
          </w:tcPr>
          <w:p w14:paraId="17755B62">
            <w:pPr>
              <w:spacing w:line="300" w:lineRule="exact"/>
              <w:jc w:val="center"/>
            </w:pPr>
            <w:r>
              <w:rPr>
                <w:rFonts w:hint="eastAsia"/>
                <w:snapToGrid w:val="0"/>
                <w:kern w:val="0"/>
                <w:sz w:val="20"/>
                <w:szCs w:val="21"/>
                <w:lang w:val="en-US" w:eastAsia="zh-CN"/>
              </w:rPr>
              <w:t>3</w:t>
            </w:r>
          </w:p>
        </w:tc>
        <w:tc>
          <w:tcPr>
            <w:tcW w:w="724" w:type="dxa"/>
            <w:vAlign w:val="center"/>
          </w:tcPr>
          <w:p w14:paraId="0C3F8D81">
            <w:pPr>
              <w:spacing w:line="300" w:lineRule="exact"/>
              <w:jc w:val="center"/>
            </w:pPr>
            <w:r>
              <w:rPr>
                <w:rFonts w:hint="eastAsia"/>
                <w:snapToGrid w:val="0"/>
                <w:kern w:val="0"/>
                <w:sz w:val="20"/>
                <w:szCs w:val="21"/>
                <w:lang w:val="en-US" w:eastAsia="zh-CN"/>
              </w:rPr>
              <w:t>4</w:t>
            </w:r>
          </w:p>
        </w:tc>
        <w:tc>
          <w:tcPr>
            <w:tcW w:w="723" w:type="dxa"/>
            <w:vAlign w:val="center"/>
          </w:tcPr>
          <w:p w14:paraId="7D244B9A">
            <w:pPr>
              <w:spacing w:line="300" w:lineRule="exact"/>
              <w:jc w:val="center"/>
            </w:pPr>
            <w:r>
              <w:rPr>
                <w:rFonts w:hint="eastAsia"/>
                <w:snapToGrid w:val="0"/>
                <w:kern w:val="0"/>
                <w:sz w:val="20"/>
                <w:szCs w:val="21"/>
                <w:lang w:val="en-US" w:eastAsia="zh-CN"/>
              </w:rPr>
              <w:t>5</w:t>
            </w:r>
          </w:p>
        </w:tc>
        <w:tc>
          <w:tcPr>
            <w:tcW w:w="723" w:type="dxa"/>
            <w:vAlign w:val="center"/>
          </w:tcPr>
          <w:p w14:paraId="7475468F">
            <w:pPr>
              <w:spacing w:line="300" w:lineRule="exact"/>
              <w:jc w:val="center"/>
            </w:pPr>
            <w:r>
              <w:rPr>
                <w:rFonts w:hint="eastAsia"/>
                <w:snapToGrid w:val="0"/>
                <w:kern w:val="0"/>
                <w:sz w:val="20"/>
                <w:szCs w:val="21"/>
                <w:lang w:val="en-US" w:eastAsia="zh-CN"/>
              </w:rPr>
              <w:t>6</w:t>
            </w:r>
          </w:p>
        </w:tc>
        <w:tc>
          <w:tcPr>
            <w:tcW w:w="723" w:type="dxa"/>
            <w:vAlign w:val="center"/>
          </w:tcPr>
          <w:p w14:paraId="5220C047">
            <w:pPr>
              <w:spacing w:line="300" w:lineRule="exact"/>
              <w:jc w:val="center"/>
            </w:pPr>
            <w:r>
              <w:rPr>
                <w:rFonts w:hint="eastAsia"/>
                <w:snapToGrid w:val="0"/>
                <w:kern w:val="0"/>
                <w:sz w:val="20"/>
                <w:szCs w:val="21"/>
                <w:lang w:val="en-US" w:eastAsia="zh-CN"/>
              </w:rPr>
              <w:t>7</w:t>
            </w:r>
          </w:p>
        </w:tc>
        <w:tc>
          <w:tcPr>
            <w:tcW w:w="724" w:type="dxa"/>
            <w:vAlign w:val="center"/>
          </w:tcPr>
          <w:p w14:paraId="4D7D4606">
            <w:pPr>
              <w:spacing w:line="300" w:lineRule="exact"/>
              <w:jc w:val="center"/>
            </w:pPr>
            <w:r>
              <w:rPr>
                <w:rFonts w:hint="eastAsia"/>
                <w:snapToGrid w:val="0"/>
                <w:kern w:val="0"/>
                <w:sz w:val="20"/>
                <w:szCs w:val="21"/>
                <w:lang w:val="en-US" w:eastAsia="zh-CN"/>
              </w:rPr>
              <w:t>8</w:t>
            </w:r>
          </w:p>
        </w:tc>
        <w:tc>
          <w:tcPr>
            <w:tcW w:w="723" w:type="dxa"/>
            <w:vAlign w:val="center"/>
          </w:tcPr>
          <w:p w14:paraId="59F4330A">
            <w:pPr>
              <w:spacing w:line="300" w:lineRule="exact"/>
              <w:jc w:val="center"/>
            </w:pPr>
            <w:r>
              <w:rPr>
                <w:rFonts w:hint="eastAsia"/>
                <w:snapToGrid w:val="0"/>
                <w:kern w:val="0"/>
                <w:sz w:val="20"/>
                <w:szCs w:val="21"/>
                <w:lang w:val="en-US" w:eastAsia="zh-CN"/>
              </w:rPr>
              <w:t>9</w:t>
            </w:r>
          </w:p>
        </w:tc>
        <w:tc>
          <w:tcPr>
            <w:tcW w:w="755" w:type="dxa"/>
            <w:vAlign w:val="center"/>
          </w:tcPr>
          <w:p w14:paraId="0856DED4">
            <w:pPr>
              <w:spacing w:line="300" w:lineRule="exact"/>
              <w:jc w:val="center"/>
            </w:pPr>
            <w:r>
              <w:rPr>
                <w:rFonts w:hint="eastAsia"/>
                <w:snapToGrid w:val="0"/>
                <w:kern w:val="0"/>
                <w:sz w:val="20"/>
                <w:szCs w:val="21"/>
                <w:lang w:val="en-US" w:eastAsia="zh-CN"/>
              </w:rPr>
              <w:t>10</w:t>
            </w:r>
          </w:p>
        </w:tc>
        <w:tc>
          <w:tcPr>
            <w:tcW w:w="674" w:type="dxa"/>
            <w:vMerge w:val="continue"/>
            <w:vAlign w:val="center"/>
          </w:tcPr>
          <w:p w14:paraId="07AF167A">
            <w:pPr>
              <w:jc w:val="center"/>
              <w:rPr>
                <w:snapToGrid w:val="0"/>
                <w:kern w:val="0"/>
                <w:szCs w:val="21"/>
              </w:rPr>
            </w:pPr>
          </w:p>
        </w:tc>
      </w:tr>
      <w:tr w14:paraId="628FF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61" w:hRule="exact"/>
          <w:jc w:val="center"/>
        </w:trPr>
        <w:tc>
          <w:tcPr>
            <w:tcW w:w="1067" w:type="dxa"/>
            <w:vAlign w:val="center"/>
          </w:tcPr>
          <w:p w14:paraId="09C5C0AB">
            <w:pPr>
              <w:adjustRightInd w:val="0"/>
              <w:snapToGrid w:val="0"/>
              <w:jc w:val="center"/>
              <w:rPr>
                <w:sz w:val="18"/>
                <w:szCs w:val="18"/>
                <w:highlight w:val="yellow"/>
              </w:rPr>
            </w:pPr>
            <w:r>
              <w:rPr>
                <w:i/>
                <w:iCs/>
                <w:sz w:val="18"/>
                <w:szCs w:val="18"/>
              </w:rPr>
              <w:t>U</w:t>
            </w:r>
            <w:r>
              <w:rPr>
                <w:rFonts w:hint="eastAsia"/>
                <w:sz w:val="18"/>
                <w:szCs w:val="18"/>
                <w:vertAlign w:val="subscript"/>
              </w:rPr>
              <w:t>1</w:t>
            </w:r>
            <w:r>
              <w:rPr>
                <w:rFonts w:hint="eastAsia"/>
                <w:sz w:val="18"/>
                <w:szCs w:val="18"/>
              </w:rPr>
              <w:t>=220V，</w:t>
            </w:r>
            <w:r>
              <w:rPr>
                <w:i/>
                <w:iCs/>
                <w:sz w:val="18"/>
                <w:szCs w:val="18"/>
              </w:rPr>
              <w:t>I</w:t>
            </w:r>
            <w:r>
              <w:rPr>
                <w:rFonts w:hint="eastAsia"/>
                <w:sz w:val="18"/>
                <w:szCs w:val="18"/>
                <w:vertAlign w:val="subscript"/>
              </w:rPr>
              <w:t>1</w:t>
            </w:r>
            <w:r>
              <w:rPr>
                <w:rFonts w:hint="eastAsia"/>
                <w:sz w:val="18"/>
                <w:szCs w:val="18"/>
              </w:rPr>
              <w:t>=5A，cos</w:t>
            </w:r>
            <w:r>
              <w:rPr>
                <w:i/>
                <w:iCs/>
                <w:sz w:val="18"/>
                <w:szCs w:val="18"/>
              </w:rPr>
              <w:t>φ</w:t>
            </w:r>
            <w:r>
              <w:rPr>
                <w:rFonts w:hint="eastAsia"/>
                <w:sz w:val="18"/>
                <w:szCs w:val="18"/>
              </w:rPr>
              <w:t>=1</w:t>
            </w:r>
          </w:p>
        </w:tc>
        <w:tc>
          <w:tcPr>
            <w:tcW w:w="722" w:type="dxa"/>
            <w:shd w:val="clear" w:color="auto" w:fill="auto"/>
            <w:vAlign w:val="center"/>
          </w:tcPr>
          <w:p w14:paraId="027D121A">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0.0038</w:t>
            </w:r>
          </w:p>
        </w:tc>
        <w:tc>
          <w:tcPr>
            <w:tcW w:w="723" w:type="dxa"/>
            <w:shd w:val="clear" w:color="auto" w:fill="auto"/>
            <w:tcMar>
              <w:left w:w="28" w:type="dxa"/>
              <w:right w:w="28" w:type="dxa"/>
            </w:tcMar>
            <w:vAlign w:val="center"/>
          </w:tcPr>
          <w:p w14:paraId="132C28D8">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w:t>
            </w:r>
            <w:r>
              <w:rPr>
                <w:rFonts w:hint="eastAsia" w:eastAsia="等线" w:cs="Times New Roman"/>
                <w:i w:val="0"/>
                <w:iCs w:val="0"/>
                <w:color w:val="000000"/>
                <w:kern w:val="0"/>
                <w:sz w:val="18"/>
                <w:szCs w:val="18"/>
                <w:u w:val="none"/>
                <w:lang w:val="en-US" w:eastAsia="zh-CN" w:bidi="ar"/>
              </w:rPr>
              <w:t>5</w:t>
            </w:r>
          </w:p>
        </w:tc>
        <w:tc>
          <w:tcPr>
            <w:tcW w:w="723" w:type="dxa"/>
            <w:shd w:val="clear" w:color="auto" w:fill="auto"/>
            <w:tcMar>
              <w:left w:w="28" w:type="dxa"/>
              <w:right w:w="28" w:type="dxa"/>
            </w:tcMar>
            <w:vAlign w:val="center"/>
          </w:tcPr>
          <w:p w14:paraId="20279F32">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0.0038</w:t>
            </w:r>
          </w:p>
        </w:tc>
        <w:tc>
          <w:tcPr>
            <w:tcW w:w="724" w:type="dxa"/>
            <w:shd w:val="clear" w:color="auto" w:fill="auto"/>
            <w:tcMar>
              <w:left w:w="28" w:type="dxa"/>
              <w:right w:w="28" w:type="dxa"/>
            </w:tcMar>
            <w:vAlign w:val="center"/>
          </w:tcPr>
          <w:p w14:paraId="2B12F88A">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w:t>
            </w:r>
            <w:r>
              <w:rPr>
                <w:rFonts w:hint="eastAsia" w:eastAsia="等线" w:cs="Times New Roman"/>
                <w:i w:val="0"/>
                <w:iCs w:val="0"/>
                <w:color w:val="000000"/>
                <w:kern w:val="0"/>
                <w:sz w:val="18"/>
                <w:szCs w:val="18"/>
                <w:u w:val="none"/>
                <w:lang w:val="en-US" w:eastAsia="zh-CN" w:bidi="ar"/>
              </w:rPr>
              <w:t>5</w:t>
            </w:r>
          </w:p>
        </w:tc>
        <w:tc>
          <w:tcPr>
            <w:tcW w:w="723" w:type="dxa"/>
            <w:shd w:val="clear" w:color="auto" w:fill="auto"/>
            <w:tcMar>
              <w:left w:w="28" w:type="dxa"/>
              <w:right w:w="28" w:type="dxa"/>
            </w:tcMar>
            <w:vAlign w:val="center"/>
          </w:tcPr>
          <w:p w14:paraId="11D58287">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0.0038</w:t>
            </w:r>
          </w:p>
        </w:tc>
        <w:tc>
          <w:tcPr>
            <w:tcW w:w="723" w:type="dxa"/>
            <w:shd w:val="clear" w:color="auto" w:fill="auto"/>
            <w:tcMar>
              <w:left w:w="28" w:type="dxa"/>
              <w:right w:w="28" w:type="dxa"/>
            </w:tcMar>
            <w:vAlign w:val="center"/>
          </w:tcPr>
          <w:p w14:paraId="46FD37F4">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w:t>
            </w:r>
            <w:r>
              <w:rPr>
                <w:rFonts w:hint="eastAsia" w:eastAsia="等线" w:cs="Times New Roman"/>
                <w:i w:val="0"/>
                <w:iCs w:val="0"/>
                <w:color w:val="000000"/>
                <w:kern w:val="0"/>
                <w:sz w:val="18"/>
                <w:szCs w:val="18"/>
                <w:u w:val="none"/>
                <w:lang w:val="en-US" w:eastAsia="zh-CN" w:bidi="ar"/>
              </w:rPr>
              <w:t>7</w:t>
            </w:r>
          </w:p>
        </w:tc>
        <w:tc>
          <w:tcPr>
            <w:tcW w:w="723" w:type="dxa"/>
            <w:shd w:val="clear" w:color="auto" w:fill="auto"/>
            <w:tcMar>
              <w:left w:w="28" w:type="dxa"/>
              <w:right w:w="28" w:type="dxa"/>
            </w:tcMar>
            <w:vAlign w:val="center"/>
          </w:tcPr>
          <w:p w14:paraId="7B586D58">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0.0038</w:t>
            </w:r>
          </w:p>
        </w:tc>
        <w:tc>
          <w:tcPr>
            <w:tcW w:w="724" w:type="dxa"/>
            <w:shd w:val="clear" w:color="auto" w:fill="auto"/>
            <w:tcMar>
              <w:left w:w="28" w:type="dxa"/>
              <w:right w:w="28" w:type="dxa"/>
            </w:tcMar>
            <w:vAlign w:val="center"/>
          </w:tcPr>
          <w:p w14:paraId="0A67C3C8">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w:t>
            </w:r>
            <w:r>
              <w:rPr>
                <w:rFonts w:hint="eastAsia" w:eastAsia="等线" w:cs="Times New Roman"/>
                <w:i w:val="0"/>
                <w:iCs w:val="0"/>
                <w:color w:val="000000"/>
                <w:kern w:val="0"/>
                <w:sz w:val="18"/>
                <w:szCs w:val="18"/>
                <w:u w:val="none"/>
                <w:lang w:val="en-US" w:eastAsia="zh-CN" w:bidi="ar"/>
              </w:rPr>
              <w:t>5</w:t>
            </w:r>
          </w:p>
        </w:tc>
        <w:tc>
          <w:tcPr>
            <w:tcW w:w="723" w:type="dxa"/>
            <w:shd w:val="clear" w:color="auto" w:fill="auto"/>
            <w:tcMar>
              <w:left w:w="28" w:type="dxa"/>
              <w:right w:w="28" w:type="dxa"/>
            </w:tcMar>
            <w:vAlign w:val="center"/>
          </w:tcPr>
          <w:p w14:paraId="49CE780B">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0.0038</w:t>
            </w:r>
          </w:p>
        </w:tc>
        <w:tc>
          <w:tcPr>
            <w:tcW w:w="755" w:type="dxa"/>
            <w:shd w:val="clear" w:color="auto" w:fill="auto"/>
            <w:tcMar>
              <w:left w:w="28" w:type="dxa"/>
              <w:right w:w="28" w:type="dxa"/>
            </w:tcMar>
            <w:vAlign w:val="center"/>
          </w:tcPr>
          <w:p w14:paraId="10E0142B">
            <w:pPr>
              <w:keepNext w:val="0"/>
              <w:keepLines w:val="0"/>
              <w:widowControl/>
              <w:suppressLineNumbers w:val="0"/>
              <w:jc w:val="center"/>
              <w:textAlignment w:val="center"/>
              <w:rPr>
                <w:color w:val="000000"/>
                <w:sz w:val="18"/>
                <w:szCs w:val="18"/>
              </w:rPr>
            </w:pPr>
            <w:r>
              <w:rPr>
                <w:rFonts w:hint="default" w:ascii="Times New Roman" w:hAnsi="Times New Roman" w:eastAsia="等线" w:cs="Times New Roman"/>
                <w:i w:val="0"/>
                <w:iCs w:val="0"/>
                <w:color w:val="000000"/>
                <w:kern w:val="0"/>
                <w:sz w:val="18"/>
                <w:szCs w:val="18"/>
                <w:u w:val="none"/>
                <w:lang w:val="en-US" w:eastAsia="zh-CN" w:bidi="ar"/>
              </w:rPr>
              <w:t>0.003</w:t>
            </w:r>
            <w:r>
              <w:rPr>
                <w:rFonts w:hint="eastAsia" w:eastAsia="等线" w:cs="Times New Roman"/>
                <w:i w:val="0"/>
                <w:iCs w:val="0"/>
                <w:color w:val="000000"/>
                <w:kern w:val="0"/>
                <w:sz w:val="18"/>
                <w:szCs w:val="18"/>
                <w:u w:val="none"/>
                <w:lang w:val="en-US" w:eastAsia="zh-CN" w:bidi="ar"/>
              </w:rPr>
              <w:t>7</w:t>
            </w:r>
          </w:p>
        </w:tc>
        <w:tc>
          <w:tcPr>
            <w:tcW w:w="674" w:type="dxa"/>
            <w:shd w:val="clear" w:color="auto" w:fill="auto"/>
            <w:tcMar>
              <w:left w:w="28" w:type="dxa"/>
              <w:right w:w="28" w:type="dxa"/>
            </w:tcMar>
            <w:vAlign w:val="center"/>
          </w:tcPr>
          <w:p w14:paraId="7F7264BF">
            <w:pPr>
              <w:jc w:val="center"/>
              <w:rPr>
                <w:rFonts w:hint="default" w:eastAsia="宋体"/>
                <w:sz w:val="18"/>
                <w:szCs w:val="18"/>
                <w:lang w:val="en-US" w:eastAsia="zh-CN"/>
              </w:rPr>
            </w:pPr>
            <w:r>
              <w:rPr>
                <w:sz w:val="18"/>
                <w:szCs w:val="18"/>
              </w:rPr>
              <w:t>0.</w:t>
            </w:r>
            <w:r>
              <w:rPr>
                <w:rFonts w:hint="eastAsia"/>
                <w:sz w:val="18"/>
                <w:szCs w:val="18"/>
              </w:rPr>
              <w:t>0</w:t>
            </w:r>
            <w:r>
              <w:rPr>
                <w:rFonts w:hint="eastAsia"/>
                <w:sz w:val="18"/>
                <w:szCs w:val="18"/>
                <w:lang w:val="en-US" w:eastAsia="zh-CN"/>
              </w:rPr>
              <w:t>00137</w:t>
            </w:r>
          </w:p>
        </w:tc>
      </w:tr>
    </w:tbl>
    <w:p w14:paraId="0F550A45">
      <w:pPr>
        <w:snapToGrid w:val="0"/>
        <w:spacing w:before="156" w:beforeLines="50"/>
        <w:rPr>
          <w:szCs w:val="21"/>
        </w:rPr>
      </w:pPr>
    </w:p>
    <w:p w14:paraId="46816CAE">
      <w:pPr>
        <w:adjustRightInd w:val="0"/>
        <w:snapToGrid w:val="0"/>
        <w:ind w:firstLine="420" w:firstLineChars="200"/>
        <w:rPr>
          <w:bCs/>
        </w:rPr>
      </w:pPr>
      <w:r>
        <w:rPr>
          <w:rFonts w:hint="eastAsia"/>
          <w:lang w:eastAsia="zh-CN"/>
        </w:rPr>
        <w:t>由于</w:t>
      </w:r>
      <w:r>
        <w:t>在实际测量中，取二次测量的平均值</w:t>
      </w:r>
      <w:r>
        <w:rPr>
          <w:rFonts w:hint="eastAsia"/>
          <w:lang w:eastAsia="zh-CN"/>
        </w:rPr>
        <w:t>作为测量结果</w:t>
      </w:r>
      <w:r>
        <w:t>，故</w:t>
      </w:r>
      <w:r>
        <w:rPr>
          <w:bCs/>
        </w:rPr>
        <w:t>标准不确定度分量结果见表6</w:t>
      </w:r>
      <w:r>
        <w:t>，其中，</w:t>
      </w:r>
      <w:r>
        <w:rPr>
          <w:bCs/>
          <w:position w:val="-12"/>
        </w:rPr>
        <w:object>
          <v:shape id="_x0000_i1079" o:spt="75" type="#_x0000_t75" style="height:20.15pt;width:55.3pt;" o:ole="t" filled="f" o:preferrelative="t" stroked="f" coordsize="21600,21600">
            <v:path/>
            <v:fill on="f" focussize="0,0"/>
            <v:stroke on="f" joinstyle="miter"/>
            <v:imagedata r:id="rId24" o:title=""/>
            <o:lock v:ext="edit" aspectratio="t"/>
            <w10:wrap type="none"/>
            <w10:anchorlock/>
          </v:shape>
          <o:OLEObject Type="Embed" ProgID="Equation.DSMT4" ShapeID="_x0000_i1079" DrawAspect="Content" ObjectID="_1468075769" r:id="rId76">
            <o:LockedField>false</o:LockedField>
          </o:OLEObject>
        </w:object>
      </w:r>
      <w:r>
        <w:rPr>
          <w:bCs/>
        </w:rPr>
        <w:t>。</w:t>
      </w:r>
    </w:p>
    <w:p w14:paraId="3E894910">
      <w:pPr>
        <w:snapToGrid w:val="0"/>
        <w:spacing w:before="156" w:beforeLines="50"/>
        <w:jc w:val="center"/>
        <w:rPr>
          <w:bCs/>
          <w:color w:val="000000"/>
          <w:szCs w:val="21"/>
        </w:rPr>
      </w:pPr>
      <w:r>
        <w:rPr>
          <w:szCs w:val="21"/>
        </w:rPr>
        <w:t>表6</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230"/>
        <w:gridCol w:w="3232"/>
        <w:gridCol w:w="3232"/>
      </w:tblGrid>
      <w:tr w14:paraId="5C91D8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3230" w:type="dxa"/>
            <w:vAlign w:val="center"/>
          </w:tcPr>
          <w:p w14:paraId="33C4C9BF">
            <w:pPr>
              <w:adjustRightInd w:val="0"/>
              <w:snapToGrid w:val="0"/>
              <w:jc w:val="center"/>
              <w:rPr>
                <w:szCs w:val="21"/>
              </w:rPr>
            </w:pPr>
            <w:r>
              <w:rPr>
                <w:szCs w:val="21"/>
              </w:rPr>
              <w:t>参数</w:t>
            </w:r>
          </w:p>
        </w:tc>
        <w:tc>
          <w:tcPr>
            <w:tcW w:w="3232" w:type="dxa"/>
            <w:vAlign w:val="center"/>
          </w:tcPr>
          <w:p w14:paraId="1F7C838C">
            <w:pPr>
              <w:adjustRightInd w:val="0"/>
              <w:snapToGrid w:val="0"/>
              <w:jc w:val="center"/>
              <w:rPr>
                <w:i/>
              </w:rPr>
            </w:pPr>
            <w:r>
              <w:rPr>
                <w:rFonts w:hint="eastAsia"/>
                <w:snapToGrid w:val="0"/>
                <w:kern w:val="0"/>
                <w:szCs w:val="21"/>
              </w:rPr>
              <w:t>试验</w:t>
            </w:r>
            <w:r>
              <w:rPr>
                <w:snapToGrid w:val="0"/>
                <w:kern w:val="0"/>
                <w:szCs w:val="21"/>
              </w:rPr>
              <w:t>标准差</w:t>
            </w:r>
            <w:r>
              <w:rPr>
                <w:i/>
              </w:rPr>
              <w:t>S</w:t>
            </w:r>
            <w:r>
              <w:rPr>
                <w:rFonts w:hint="eastAsia"/>
                <w:iCs/>
              </w:rPr>
              <w:t>（%）</w:t>
            </w:r>
          </w:p>
        </w:tc>
        <w:tc>
          <w:tcPr>
            <w:tcW w:w="3232" w:type="dxa"/>
            <w:vAlign w:val="center"/>
          </w:tcPr>
          <w:p w14:paraId="06CF5F90">
            <w:pPr>
              <w:adjustRightInd w:val="0"/>
              <w:snapToGrid w:val="0"/>
              <w:jc w:val="center"/>
              <w:rPr>
                <w:snapToGrid w:val="0"/>
                <w:kern w:val="0"/>
                <w:szCs w:val="21"/>
              </w:rPr>
            </w:pPr>
            <w:r>
              <w:rPr>
                <w:szCs w:val="21"/>
              </w:rPr>
              <w:t>标准不确定度分量</w:t>
            </w:r>
            <w:r>
              <w:rPr>
                <w:bCs/>
                <w:position w:val="-12"/>
              </w:rPr>
              <w:object>
                <v:shape id="_x0000_i1080" o:spt="75" type="#_x0000_t75" style="height:19.6pt;width:12.1pt;" o:ole="t" filled="f" o:preferrelative="t" stroked="f" coordsize="21600,21600">
                  <v:path/>
                  <v:fill on="f" focussize="0,0"/>
                  <v:stroke on="f" joinstyle="miter"/>
                  <v:imagedata r:id="rId15" o:title=""/>
                  <o:lock v:ext="edit" aspectratio="t"/>
                  <w10:wrap type="none"/>
                  <w10:anchorlock/>
                </v:shape>
                <o:OLEObject Type="Embed" ProgID="Equation.DSMT4" ShapeID="_x0000_i1080" DrawAspect="Content" ObjectID="_1468075770" r:id="rId77">
                  <o:LockedField>false</o:LockedField>
                </o:OLEObject>
              </w:object>
            </w:r>
            <w:r>
              <w:rPr>
                <w:rFonts w:hint="eastAsia"/>
                <w:iCs/>
              </w:rPr>
              <w:t>（%）</w:t>
            </w:r>
          </w:p>
        </w:tc>
      </w:tr>
      <w:tr w14:paraId="76EE30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51" w:hRule="atLeast"/>
          <w:jc w:val="center"/>
        </w:trPr>
        <w:tc>
          <w:tcPr>
            <w:tcW w:w="3230" w:type="dxa"/>
            <w:vAlign w:val="center"/>
          </w:tcPr>
          <w:p w14:paraId="23BDED35">
            <w:pPr>
              <w:spacing w:line="288" w:lineRule="auto"/>
              <w:jc w:val="center"/>
              <w:rPr>
                <w:szCs w:val="21"/>
              </w:rPr>
            </w:pPr>
            <w:r>
              <w:rPr>
                <w:rFonts w:hint="eastAsia"/>
                <w:szCs w:val="21"/>
              </w:rPr>
              <w:t>电能</w:t>
            </w:r>
          </w:p>
        </w:tc>
        <w:tc>
          <w:tcPr>
            <w:tcW w:w="3232" w:type="dxa"/>
            <w:tcMar>
              <w:left w:w="28" w:type="dxa"/>
              <w:right w:w="28" w:type="dxa"/>
            </w:tcMar>
            <w:vAlign w:val="center"/>
          </w:tcPr>
          <w:p w14:paraId="4841D196">
            <w:pPr>
              <w:jc w:val="center"/>
              <w:rPr>
                <w:rFonts w:hint="default" w:eastAsia="宋体"/>
                <w:sz w:val="24"/>
                <w:lang w:val="en-US" w:eastAsia="zh-CN"/>
              </w:rPr>
            </w:pPr>
            <w:r>
              <w:t>0.</w:t>
            </w:r>
            <w:r>
              <w:rPr>
                <w:rFonts w:hint="eastAsia"/>
              </w:rPr>
              <w:t>0</w:t>
            </w:r>
            <w:r>
              <w:rPr>
                <w:rFonts w:hint="eastAsia"/>
                <w:lang w:val="en-US" w:eastAsia="zh-CN"/>
              </w:rPr>
              <w:t>00137</w:t>
            </w:r>
          </w:p>
        </w:tc>
        <w:tc>
          <w:tcPr>
            <w:tcW w:w="3232" w:type="dxa"/>
            <w:vAlign w:val="center"/>
          </w:tcPr>
          <w:p w14:paraId="20123E56">
            <w:pPr>
              <w:jc w:val="center"/>
              <w:rPr>
                <w:rFonts w:hint="default" w:eastAsia="宋体"/>
                <w:sz w:val="24"/>
                <w:lang w:val="en-US" w:eastAsia="zh-CN"/>
              </w:rPr>
            </w:pPr>
            <w:r>
              <w:t>0.</w:t>
            </w:r>
            <w:r>
              <w:rPr>
                <w:rFonts w:hint="eastAsia"/>
              </w:rPr>
              <w:t>0</w:t>
            </w:r>
            <w:r>
              <w:rPr>
                <w:rFonts w:hint="eastAsia"/>
                <w:lang w:val="en-US" w:eastAsia="zh-CN"/>
              </w:rPr>
              <w:t>000969</w:t>
            </w:r>
          </w:p>
        </w:tc>
      </w:tr>
    </w:tbl>
    <w:p w14:paraId="0AB5623A">
      <w:pPr>
        <w:spacing w:before="156" w:beforeLines="50"/>
        <w:ind w:firstLine="420" w:firstLineChars="200"/>
      </w:pPr>
      <w:r>
        <w:t>2．</w:t>
      </w:r>
      <w:r>
        <w:rPr>
          <w:rFonts w:hint="eastAsia"/>
        </w:rPr>
        <w:t>测量标准的误差</w:t>
      </w:r>
      <w:r>
        <w:rPr>
          <w:bCs/>
        </w:rPr>
        <w:t>引入的标准不确定度分量</w:t>
      </w:r>
      <w:r>
        <w:rPr>
          <w:bCs/>
          <w:position w:val="-12"/>
        </w:rPr>
        <w:object>
          <v:shape id="_x0000_i1081" o:spt="75" type="#_x0000_t75" style="height:19.6pt;width:13.25pt;" o:ole="t" filled="f" o:preferrelative="t" stroked="f" coordsize="21600,21600">
            <v:path/>
            <v:fill on="f" focussize="0,0"/>
            <v:stroke on="f" joinstyle="miter"/>
            <v:imagedata r:id="rId17" o:title=""/>
            <o:lock v:ext="edit" aspectratio="t"/>
            <w10:wrap type="none"/>
            <w10:anchorlock/>
          </v:shape>
          <o:OLEObject Type="Embed" ProgID="Equation.DSMT4" ShapeID="_x0000_i1081" DrawAspect="Content" ObjectID="_1468075771" r:id="rId78">
            <o:LockedField>false</o:LockedField>
          </o:OLEObject>
        </w:object>
      </w:r>
    </w:p>
    <w:p w14:paraId="17E7C3A6">
      <w:pPr>
        <w:spacing w:line="360" w:lineRule="auto"/>
        <w:ind w:firstLine="420" w:firstLineChars="200"/>
        <w:rPr>
          <w:bCs/>
        </w:rPr>
      </w:pPr>
      <w:r>
        <w:rPr>
          <w:rFonts w:hint="eastAsia"/>
          <w:bCs/>
          <w:szCs w:val="21"/>
        </w:rPr>
        <w:t>测量标准在测量0.</w:t>
      </w:r>
      <w:r>
        <w:rPr>
          <w:rFonts w:hint="eastAsia"/>
          <w:bCs/>
          <w:szCs w:val="21"/>
          <w:lang w:val="en-US" w:eastAsia="zh-CN"/>
        </w:rPr>
        <w:t>05</w:t>
      </w:r>
      <w:r>
        <w:rPr>
          <w:rFonts w:hint="eastAsia"/>
          <w:bCs/>
          <w:szCs w:val="21"/>
        </w:rPr>
        <w:t>级被测对象的电能误差时，由测量标准的误差引入的标准不确定度分量可以通过国家院溯源证书计算得到，溯源证书上</w:t>
      </w:r>
      <w:r>
        <w:rPr>
          <w:rFonts w:hint="eastAsia"/>
          <w:bCs/>
          <w:szCs w:val="21"/>
          <w:lang w:eastAsia="zh-CN"/>
        </w:rPr>
        <w:t>测量点</w:t>
      </w:r>
      <w:r>
        <w:rPr>
          <w:rFonts w:hint="eastAsia" w:hAnsi="宋体"/>
          <w:szCs w:val="21"/>
          <w:lang w:eastAsia="zh-CN"/>
        </w:rPr>
        <w:t>电能</w:t>
      </w:r>
      <w:r>
        <w:rPr>
          <w:rFonts w:hint="eastAsia" w:hAnsi="宋体"/>
          <w:szCs w:val="21"/>
        </w:rPr>
        <w:t>的最大允许误差不超过</w:t>
      </w:r>
      <w:r>
        <w:rPr>
          <w:rFonts w:hint="eastAsia"/>
          <w:szCs w:val="21"/>
        </w:rPr>
        <w:t>±0.01%</w:t>
      </w:r>
      <w:r>
        <w:rPr>
          <w:rFonts w:hint="eastAsia"/>
          <w:bCs/>
          <w:szCs w:val="21"/>
        </w:rPr>
        <w:t>，则电能</w:t>
      </w:r>
      <w:r>
        <w:rPr>
          <w:rFonts w:hint="eastAsia" w:hAnsi="宋体"/>
          <w:szCs w:val="21"/>
        </w:rPr>
        <w:t>的最大允许误差不超过</w:t>
      </w:r>
      <w:r>
        <w:rPr>
          <w:rFonts w:hint="eastAsia"/>
          <w:szCs w:val="21"/>
        </w:rPr>
        <w:t>±0.02%</w:t>
      </w:r>
      <w:r>
        <w:rPr>
          <w:rFonts w:hint="eastAsia"/>
          <w:bCs/>
          <w:szCs w:val="21"/>
        </w:rPr>
        <w:t>，按照均匀分布，</w:t>
      </w:r>
      <w:r>
        <w:rPr>
          <w:bCs/>
          <w:position w:val="-8"/>
        </w:rPr>
        <w:object>
          <v:shape id="_x0000_i1082" o:spt="75" type="#_x0000_t75" style="height:19.6pt;width:36.85pt;" o:ole="t" filled="f" o:preferrelative="t" stroked="f" coordsize="21600,21600">
            <v:path/>
            <v:fill on="f" focussize="0,0"/>
            <v:stroke on="f" joinstyle="miter"/>
            <v:imagedata r:id="rId28" o:title=""/>
            <o:lock v:ext="edit" aspectratio="t"/>
            <w10:wrap type="none"/>
            <w10:anchorlock/>
          </v:shape>
          <o:OLEObject Type="Embed" ProgID="Equation.3" ShapeID="_x0000_i1082" DrawAspect="Content" ObjectID="_1468075772" r:id="rId79">
            <o:LockedField>false</o:LockedField>
          </o:OLEObject>
        </w:object>
      </w:r>
      <w:r>
        <w:rPr>
          <w:rFonts w:hint="eastAsia"/>
          <w:bCs/>
          <w:szCs w:val="21"/>
        </w:rPr>
        <w:t>，</w:t>
      </w:r>
      <w:r>
        <w:rPr>
          <w:rFonts w:hint="eastAsia"/>
          <w:bCs/>
        </w:rPr>
        <w:t>计算</w:t>
      </w:r>
      <w:r>
        <w:rPr>
          <w:bCs/>
        </w:rPr>
        <w:t>得到</w:t>
      </w:r>
      <w:r>
        <w:rPr>
          <w:rFonts w:hint="eastAsia"/>
          <w:bCs/>
        </w:rPr>
        <w:t>电能</w:t>
      </w:r>
      <w:r>
        <w:rPr>
          <w:bCs/>
        </w:rPr>
        <w:t>的标准不确定度分量结果</w:t>
      </w:r>
      <w:r>
        <w:rPr>
          <w:rFonts w:hint="eastAsia"/>
          <w:bCs/>
          <w:szCs w:val="21"/>
        </w:rPr>
        <w:t>：</w:t>
      </w:r>
    </w:p>
    <w:p w14:paraId="314976B2">
      <w:pPr>
        <w:spacing w:line="360" w:lineRule="auto"/>
        <w:ind w:firstLine="420" w:firstLineChars="200"/>
        <w:rPr>
          <w:bCs/>
        </w:rPr>
      </w:pPr>
      <w:r>
        <w:rPr>
          <w:bCs/>
          <w:position w:val="-12"/>
        </w:rPr>
        <w:object>
          <v:shape id="_x0000_i1083" o:spt="75" type="#_x0000_t75" style="height:19.6pt;width:12.65pt;" o:ole="t" filled="f" o:preferrelative="t" stroked="f" coordsize="21600,21600">
            <v:path/>
            <v:fill on="f" focussize="0,0"/>
            <v:stroke on="f" joinstyle="miter"/>
            <v:imagedata r:id="rId30" o:title=""/>
            <o:lock v:ext="edit" aspectratio="t"/>
            <w10:wrap type="none"/>
            <w10:anchorlock/>
          </v:shape>
          <o:OLEObject Type="Embed" ProgID="Equation.DSMT4" ShapeID="_x0000_i1083" DrawAspect="Content" ObjectID="_1468075773" r:id="rId80">
            <o:LockedField>false</o:LockedField>
          </o:OLEObject>
        </w:object>
      </w:r>
      <w:r>
        <w:rPr>
          <w:bCs/>
        </w:rPr>
        <w:t>=</w:t>
      </w:r>
      <w:r>
        <w:rPr>
          <w:rFonts w:hint="eastAsia"/>
          <w:bCs/>
        </w:rPr>
        <w:t>0.02%/</w:t>
      </w:r>
      <w:r>
        <w:rPr>
          <w:position w:val="-8"/>
        </w:rPr>
        <w:object>
          <v:shape id="_x0000_i1084" o:spt="75" type="#_x0000_t75" style="height:17.85pt;width:17.85pt;" o:ole="t" filled="f" o:preferrelative="t" stroked="f" coordsize="21600,21600">
            <v:path/>
            <v:fill on="f" focussize="0,0"/>
            <v:stroke on="f" joinstyle="miter"/>
            <v:imagedata r:id="rId32" o:title=""/>
            <o:lock v:ext="edit" aspectratio="t"/>
            <w10:wrap type="none"/>
            <w10:anchorlock/>
          </v:shape>
          <o:OLEObject Type="Embed" ProgID="Equation.DSMT4" ShapeID="_x0000_i1084" DrawAspect="Content" ObjectID="_1468075774" r:id="rId81">
            <o:LockedField>false</o:LockedField>
          </o:OLEObject>
        </w:object>
      </w:r>
      <w:r>
        <w:rPr>
          <w:rFonts w:hint="eastAsia"/>
          <w:bCs/>
        </w:rPr>
        <w:t>=0.012</w:t>
      </w:r>
      <w:r>
        <w:rPr>
          <w:bCs/>
        </w:rPr>
        <w:t>%</w:t>
      </w:r>
    </w:p>
    <w:p w14:paraId="4D42D085">
      <w:pPr>
        <w:ind w:firstLine="420" w:firstLineChars="200"/>
      </w:pPr>
      <w:r>
        <w:t>3．</w:t>
      </w:r>
      <w:r>
        <w:rPr>
          <w:rFonts w:hint="eastAsia"/>
          <w:bCs/>
        </w:rPr>
        <w:t>测量结果的修约间距引入的标准不确定度分量</w:t>
      </w:r>
      <w:r>
        <w:rPr>
          <w:bCs/>
          <w:position w:val="-12"/>
        </w:rPr>
        <w:object>
          <v:shape id="_x0000_i1085" o:spt="75" type="#_x0000_t75" style="height:19.6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85" DrawAspect="Content" ObjectID="_1468075775" r:id="rId82">
            <o:LockedField>false</o:LockedField>
          </o:OLEObject>
        </w:object>
      </w:r>
    </w:p>
    <w:p w14:paraId="174661C0">
      <w:pPr>
        <w:spacing w:line="360" w:lineRule="auto"/>
        <w:ind w:firstLine="420" w:firstLineChars="200"/>
        <w:rPr>
          <w:bCs/>
          <w:szCs w:val="21"/>
        </w:rPr>
      </w:pPr>
      <w:r>
        <w:rPr>
          <w:rFonts w:hint="eastAsia"/>
          <w:bCs/>
          <w:szCs w:val="21"/>
        </w:rPr>
        <w:t>0.</w:t>
      </w:r>
      <w:r>
        <w:rPr>
          <w:rFonts w:hint="eastAsia"/>
          <w:bCs/>
          <w:szCs w:val="21"/>
          <w:lang w:val="en-US" w:eastAsia="zh-CN"/>
        </w:rPr>
        <w:t>05</w:t>
      </w:r>
      <w:r>
        <w:rPr>
          <w:rFonts w:hint="eastAsia"/>
          <w:bCs/>
          <w:szCs w:val="21"/>
        </w:rPr>
        <w:t>级被测对象其谐波电能的修约</w:t>
      </w:r>
      <w:r>
        <w:rPr>
          <w:rFonts w:hint="eastAsia"/>
          <w:bCs/>
        </w:rPr>
        <w:t>间距</w:t>
      </w:r>
      <w:r>
        <w:rPr>
          <w:rFonts w:hint="eastAsia"/>
          <w:bCs/>
          <w:szCs w:val="21"/>
        </w:rPr>
        <w:t>为0.0</w:t>
      </w:r>
      <w:r>
        <w:rPr>
          <w:rFonts w:hint="eastAsia"/>
          <w:bCs/>
          <w:szCs w:val="21"/>
          <w:lang w:val="en-US" w:eastAsia="zh-CN"/>
        </w:rPr>
        <w:t>05</w:t>
      </w:r>
      <w:r>
        <w:rPr>
          <w:rFonts w:hint="eastAsia"/>
          <w:bCs/>
          <w:szCs w:val="21"/>
        </w:rPr>
        <w:t>%，由</w:t>
      </w:r>
      <w:r>
        <w:rPr>
          <w:rFonts w:hint="eastAsia"/>
          <w:bCs/>
        </w:rPr>
        <w:t>测量结果</w:t>
      </w:r>
      <w:r>
        <w:rPr>
          <w:rFonts w:hint="eastAsia"/>
          <w:bCs/>
          <w:szCs w:val="21"/>
        </w:rPr>
        <w:t>数据化整带来的不确定度不会超过化整半间距0</w:t>
      </w:r>
      <w:r>
        <w:rPr>
          <w:bCs/>
          <w:szCs w:val="21"/>
        </w:rPr>
        <w:t>.0</w:t>
      </w:r>
      <w:r>
        <w:rPr>
          <w:rFonts w:hint="eastAsia"/>
          <w:bCs/>
          <w:szCs w:val="21"/>
          <w:lang w:val="en-US" w:eastAsia="zh-CN"/>
        </w:rPr>
        <w:t>025</w:t>
      </w:r>
      <w:r>
        <w:rPr>
          <w:bCs/>
          <w:szCs w:val="21"/>
        </w:rPr>
        <w:t>%</w:t>
      </w:r>
      <w:r>
        <w:rPr>
          <w:rFonts w:hint="eastAsia"/>
          <w:bCs/>
          <w:szCs w:val="21"/>
        </w:rPr>
        <w:t>，按照均匀分布，</w:t>
      </w:r>
      <w:r>
        <w:rPr>
          <w:bCs/>
        </w:rPr>
        <w:t xml:space="preserve"> </w:t>
      </w:r>
      <w:r>
        <w:rPr>
          <w:bCs/>
          <w:position w:val="-8"/>
        </w:rPr>
        <w:object>
          <v:shape id="_x0000_i1086" o:spt="75" type="#_x0000_t75" style="height:19.6pt;width:36.85pt;" o:ole="t" filled="f" o:preferrelative="t" stroked="f" coordsize="21600,21600">
            <v:path/>
            <v:fill on="f" focussize="0,0"/>
            <v:stroke on="f" joinstyle="miter"/>
            <v:imagedata r:id="rId28" o:title=""/>
            <o:lock v:ext="edit" aspectratio="t"/>
            <w10:wrap type="none"/>
            <w10:anchorlock/>
          </v:shape>
          <o:OLEObject Type="Embed" ProgID="Equation.3" ShapeID="_x0000_i1086" DrawAspect="Content" ObjectID="_1468075776" r:id="rId83">
            <o:LockedField>false</o:LockedField>
          </o:OLEObject>
        </w:object>
      </w:r>
      <w:r>
        <w:rPr>
          <w:rFonts w:hint="eastAsia"/>
          <w:bCs/>
          <w:szCs w:val="21"/>
        </w:rPr>
        <w:t>，计算得到</w:t>
      </w:r>
      <w:r>
        <w:rPr>
          <w:rFonts w:hint="eastAsia"/>
          <w:bCs/>
        </w:rPr>
        <w:t>测量结果的</w:t>
      </w:r>
      <w:r>
        <w:rPr>
          <w:rFonts w:hint="eastAsia"/>
          <w:bCs/>
          <w:szCs w:val="21"/>
        </w:rPr>
        <w:t>修约间距引入的标准不确定度分量：</w:t>
      </w:r>
    </w:p>
    <w:p w14:paraId="6E8C4E56">
      <w:pPr>
        <w:spacing w:line="360" w:lineRule="auto"/>
        <w:ind w:firstLine="420" w:firstLineChars="200"/>
        <w:rPr>
          <w:bCs/>
        </w:rPr>
      </w:pPr>
      <w:r>
        <w:rPr>
          <w:bCs/>
          <w:position w:val="-12"/>
        </w:rPr>
        <w:object>
          <v:shape id="_x0000_i1087" o:spt="75" type="#_x0000_t75" style="height:18.45pt;width:13.25pt;" o:ole="t" filled="f" o:preferrelative="t" stroked="f" coordsize="21600,21600">
            <v:path/>
            <v:fill on="f" focussize="0,0"/>
            <v:stroke on="f" joinstyle="miter"/>
            <v:imagedata r:id="rId42" o:title=""/>
            <o:lock v:ext="edit" aspectratio="t"/>
            <w10:wrap type="none"/>
            <w10:anchorlock/>
          </v:shape>
          <o:OLEObject Type="Embed" ProgID="Equation.DSMT4" ShapeID="_x0000_i1087" DrawAspect="Content" ObjectID="_1468075777" r:id="rId84">
            <o:LockedField>false</o:LockedField>
          </o:OLEObject>
        </w:object>
      </w:r>
      <w:r>
        <w:rPr>
          <w:bCs/>
        </w:rPr>
        <w:t>=</w:t>
      </w:r>
      <w:r>
        <w:rPr>
          <w:rFonts w:hint="eastAsia"/>
          <w:bCs/>
        </w:rPr>
        <w:t>0.0</w:t>
      </w:r>
      <w:r>
        <w:rPr>
          <w:rFonts w:hint="eastAsia"/>
          <w:bCs/>
          <w:lang w:val="en-US" w:eastAsia="zh-CN"/>
        </w:rPr>
        <w:t>025</w:t>
      </w:r>
      <w:r>
        <w:rPr>
          <w:bCs/>
          <w:szCs w:val="21"/>
        </w:rPr>
        <w:t>%</w:t>
      </w:r>
      <w:r>
        <w:rPr>
          <w:rFonts w:hint="eastAsia"/>
          <w:bCs/>
        </w:rPr>
        <w:t>/</w:t>
      </w:r>
      <w:r>
        <w:rPr>
          <w:position w:val="-8"/>
        </w:rPr>
        <w:object>
          <v:shape id="_x0000_i1088" o:spt="75" type="#_x0000_t75" style="height:17.3pt;width:17.3pt;" o:ole="t" filled="f" o:preferrelative="t" stroked="f" coordsize="21600,21600">
            <v:path/>
            <v:fill on="f" focussize="0,0"/>
            <v:stroke on="f" joinstyle="miter"/>
            <v:imagedata r:id="rId32" o:title=""/>
            <o:lock v:ext="edit" aspectratio="t"/>
            <w10:wrap type="none"/>
            <w10:anchorlock/>
          </v:shape>
          <o:OLEObject Type="Embed" ProgID="Equation.DSMT4" ShapeID="_x0000_i1088" DrawAspect="Content" ObjectID="_1468075778" r:id="rId85">
            <o:LockedField>false</o:LockedField>
          </o:OLEObject>
        </w:object>
      </w:r>
      <w:r>
        <w:rPr>
          <w:rFonts w:hint="eastAsia"/>
          <w:bCs/>
        </w:rPr>
        <w:t>=</w:t>
      </w:r>
      <w:r>
        <w:rPr>
          <w:bCs/>
        </w:rPr>
        <w:t>0.00</w:t>
      </w:r>
      <w:r>
        <w:rPr>
          <w:rFonts w:hint="eastAsia"/>
          <w:bCs/>
          <w:lang w:val="en-US" w:eastAsia="zh-CN"/>
        </w:rPr>
        <w:t>144</w:t>
      </w:r>
      <w:r>
        <w:rPr>
          <w:bCs/>
        </w:rPr>
        <w:t xml:space="preserve">% </w:t>
      </w:r>
    </w:p>
    <w:p w14:paraId="0EF0F41A">
      <w:pPr>
        <w:spacing w:before="156" w:beforeLines="50" w:after="240"/>
        <w:ind w:firstLine="435"/>
      </w:pPr>
      <w:r>
        <w:rPr>
          <w:bCs/>
        </w:rPr>
        <w:t>4．</w:t>
      </w:r>
      <w:r>
        <w:rPr>
          <w:rFonts w:hint="eastAsia"/>
          <w:bCs/>
        </w:rPr>
        <w:t>标准不确定度分量汇总</w:t>
      </w:r>
      <w:r>
        <w:t xml:space="preserve">  </w:t>
      </w:r>
    </w:p>
    <w:p w14:paraId="4CD138E0">
      <w:pPr>
        <w:spacing w:before="156" w:beforeLines="50"/>
        <w:ind w:firstLine="315" w:firstLineChars="150"/>
        <w:jc w:val="center"/>
        <w:rPr>
          <w:szCs w:val="21"/>
        </w:rPr>
      </w:pPr>
      <w:r>
        <w:rPr>
          <w:szCs w:val="21"/>
        </w:rPr>
        <w:t>表7</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4"/>
        <w:gridCol w:w="2464"/>
      </w:tblGrid>
      <w:tr w14:paraId="32AA4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50" w:type="pct"/>
            <w:vAlign w:val="center"/>
          </w:tcPr>
          <w:p w14:paraId="117FC265">
            <w:pPr>
              <w:adjustRightInd w:val="0"/>
              <w:snapToGrid w:val="0"/>
              <w:jc w:val="center"/>
            </w:pPr>
            <w:r>
              <w:rPr>
                <w:szCs w:val="21"/>
              </w:rPr>
              <w:t>标准不确定度</w:t>
            </w:r>
            <w:r>
              <w:rPr>
                <w:rFonts w:hint="eastAsia"/>
                <w:szCs w:val="21"/>
              </w:rPr>
              <w:t>分量</w:t>
            </w:r>
          </w:p>
        </w:tc>
        <w:tc>
          <w:tcPr>
            <w:tcW w:w="1250" w:type="pct"/>
            <w:vAlign w:val="center"/>
          </w:tcPr>
          <w:p w14:paraId="6D514813">
            <w:pPr>
              <w:adjustRightInd w:val="0"/>
              <w:snapToGrid w:val="0"/>
              <w:jc w:val="center"/>
            </w:pPr>
            <w:r>
              <w:rPr>
                <w:rFonts w:hint="eastAsia"/>
              </w:rPr>
              <w:t>不确定度来源</w:t>
            </w:r>
          </w:p>
        </w:tc>
        <w:tc>
          <w:tcPr>
            <w:tcW w:w="1250" w:type="pct"/>
            <w:vAlign w:val="center"/>
          </w:tcPr>
          <w:p w14:paraId="6246E142">
            <w:pPr>
              <w:adjustRightInd w:val="0"/>
              <w:snapToGrid w:val="0"/>
              <w:jc w:val="center"/>
              <w:rPr>
                <w:bCs/>
                <w:szCs w:val="21"/>
              </w:rPr>
            </w:pPr>
            <w:r>
              <w:rPr>
                <w:rFonts w:hint="eastAsia"/>
                <w:bCs/>
                <w:szCs w:val="21"/>
              </w:rPr>
              <w:t>参数</w:t>
            </w:r>
          </w:p>
        </w:tc>
        <w:tc>
          <w:tcPr>
            <w:tcW w:w="1250" w:type="pct"/>
            <w:vAlign w:val="center"/>
          </w:tcPr>
          <w:p w14:paraId="543C9198">
            <w:pPr>
              <w:adjustRightInd w:val="0"/>
              <w:snapToGrid w:val="0"/>
              <w:jc w:val="center"/>
              <w:rPr>
                <w:bCs/>
                <w:szCs w:val="21"/>
              </w:rPr>
            </w:pPr>
            <w:r>
              <w:rPr>
                <w:rFonts w:hint="eastAsia"/>
                <w:bCs/>
                <w:szCs w:val="21"/>
              </w:rPr>
              <w:t>标准</w:t>
            </w:r>
            <w:r>
              <w:rPr>
                <w:bCs/>
                <w:szCs w:val="21"/>
              </w:rPr>
              <w:t>不确定度分量</w:t>
            </w:r>
          </w:p>
        </w:tc>
      </w:tr>
      <w:tr w14:paraId="0CBE0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50" w:type="pct"/>
            <w:vAlign w:val="center"/>
          </w:tcPr>
          <w:p w14:paraId="4A8A06BC">
            <w:pPr>
              <w:adjustRightInd w:val="0"/>
              <w:snapToGrid w:val="0"/>
              <w:jc w:val="center"/>
            </w:pPr>
            <w:r>
              <w:rPr>
                <w:i/>
                <w:szCs w:val="21"/>
              </w:rPr>
              <w:t>u</w:t>
            </w:r>
            <w:r>
              <w:rPr>
                <w:rFonts w:hint="eastAsia"/>
                <w:szCs w:val="21"/>
                <w:vertAlign w:val="subscript"/>
              </w:rPr>
              <w:t>1</w:t>
            </w:r>
          </w:p>
        </w:tc>
        <w:tc>
          <w:tcPr>
            <w:tcW w:w="1250" w:type="pct"/>
            <w:vAlign w:val="center"/>
          </w:tcPr>
          <w:p w14:paraId="2C312753">
            <w:pPr>
              <w:adjustRightInd w:val="0"/>
              <w:snapToGrid w:val="0"/>
              <w:jc w:val="center"/>
            </w:pPr>
            <w:r>
              <w:rPr>
                <w:rFonts w:hint="eastAsia"/>
                <w:bCs/>
              </w:rPr>
              <w:t>测量重复性</w:t>
            </w:r>
          </w:p>
        </w:tc>
        <w:tc>
          <w:tcPr>
            <w:tcW w:w="1250" w:type="pct"/>
            <w:vAlign w:val="center"/>
          </w:tcPr>
          <w:p w14:paraId="74BE6A80">
            <w:pPr>
              <w:adjustRightInd w:val="0"/>
              <w:snapToGrid w:val="0"/>
              <w:jc w:val="center"/>
              <w:rPr>
                <w:szCs w:val="21"/>
              </w:rPr>
            </w:pPr>
            <w:r>
              <w:rPr>
                <w:szCs w:val="21"/>
              </w:rPr>
              <w:t>电能</w:t>
            </w:r>
          </w:p>
        </w:tc>
        <w:tc>
          <w:tcPr>
            <w:tcW w:w="1250" w:type="pct"/>
            <w:vAlign w:val="center"/>
          </w:tcPr>
          <w:p w14:paraId="4808980D">
            <w:pPr>
              <w:adjustRightInd w:val="0"/>
              <w:snapToGrid w:val="0"/>
              <w:jc w:val="center"/>
              <w:rPr>
                <w:sz w:val="24"/>
              </w:rPr>
            </w:pPr>
            <w:r>
              <w:t>0.</w:t>
            </w:r>
            <w:r>
              <w:rPr>
                <w:rFonts w:hint="eastAsia"/>
              </w:rPr>
              <w:t>0</w:t>
            </w:r>
            <w:r>
              <w:rPr>
                <w:rFonts w:hint="eastAsia"/>
                <w:lang w:val="en-US" w:eastAsia="zh-CN"/>
              </w:rPr>
              <w:t>00096</w:t>
            </w:r>
            <w:r>
              <w:rPr>
                <w:rFonts w:hint="eastAsia"/>
              </w:rPr>
              <w:t>9</w:t>
            </w:r>
            <w:r>
              <w:t>%</w:t>
            </w:r>
          </w:p>
        </w:tc>
      </w:tr>
      <w:tr w14:paraId="532A8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50" w:type="pct"/>
            <w:vAlign w:val="center"/>
          </w:tcPr>
          <w:p w14:paraId="70EFD7EA">
            <w:pPr>
              <w:adjustRightInd w:val="0"/>
              <w:snapToGrid w:val="0"/>
              <w:jc w:val="center"/>
            </w:pPr>
            <w:r>
              <w:rPr>
                <w:i/>
                <w:szCs w:val="21"/>
              </w:rPr>
              <w:t>u</w:t>
            </w:r>
            <w:r>
              <w:rPr>
                <w:szCs w:val="21"/>
                <w:vertAlign w:val="subscript"/>
              </w:rPr>
              <w:t>2</w:t>
            </w:r>
          </w:p>
        </w:tc>
        <w:tc>
          <w:tcPr>
            <w:tcW w:w="1250" w:type="pct"/>
            <w:vAlign w:val="center"/>
          </w:tcPr>
          <w:p w14:paraId="3C3B1030">
            <w:pPr>
              <w:adjustRightInd w:val="0"/>
              <w:snapToGrid w:val="0"/>
              <w:jc w:val="center"/>
            </w:pPr>
            <w:r>
              <w:rPr>
                <w:bCs/>
              </w:rPr>
              <w:t>测量标准的</w:t>
            </w:r>
            <w:r>
              <w:rPr>
                <w:rFonts w:hint="eastAsia"/>
                <w:bCs/>
              </w:rPr>
              <w:t>误差</w:t>
            </w:r>
          </w:p>
        </w:tc>
        <w:tc>
          <w:tcPr>
            <w:tcW w:w="1250" w:type="pct"/>
            <w:vAlign w:val="center"/>
          </w:tcPr>
          <w:p w14:paraId="40E8D5BB">
            <w:pPr>
              <w:adjustRightInd w:val="0"/>
              <w:snapToGrid w:val="0"/>
              <w:jc w:val="center"/>
              <w:rPr>
                <w:szCs w:val="21"/>
              </w:rPr>
            </w:pPr>
            <w:r>
              <w:rPr>
                <w:szCs w:val="21"/>
              </w:rPr>
              <w:t>电能</w:t>
            </w:r>
          </w:p>
        </w:tc>
        <w:tc>
          <w:tcPr>
            <w:tcW w:w="1250" w:type="pct"/>
            <w:vAlign w:val="center"/>
          </w:tcPr>
          <w:p w14:paraId="3F5C4E09">
            <w:pPr>
              <w:adjustRightInd w:val="0"/>
              <w:snapToGrid w:val="0"/>
              <w:jc w:val="center"/>
              <w:rPr>
                <w:sz w:val="24"/>
              </w:rPr>
            </w:pPr>
            <w:r>
              <w:t>0.0</w:t>
            </w:r>
            <w:r>
              <w:rPr>
                <w:rFonts w:hint="eastAsia"/>
              </w:rPr>
              <w:t>12</w:t>
            </w:r>
            <w:r>
              <w:t>%</w:t>
            </w:r>
          </w:p>
        </w:tc>
      </w:tr>
      <w:tr w14:paraId="58AD16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50" w:type="pct"/>
            <w:vAlign w:val="center"/>
          </w:tcPr>
          <w:p w14:paraId="217ECCFC">
            <w:pPr>
              <w:adjustRightInd w:val="0"/>
              <w:snapToGrid w:val="0"/>
              <w:jc w:val="center"/>
              <w:rPr>
                <w:i/>
                <w:szCs w:val="21"/>
              </w:rPr>
            </w:pPr>
            <w:r>
              <w:rPr>
                <w:i/>
                <w:szCs w:val="21"/>
              </w:rPr>
              <w:t>u</w:t>
            </w:r>
            <w:r>
              <w:rPr>
                <w:szCs w:val="21"/>
                <w:vertAlign w:val="subscript"/>
              </w:rPr>
              <w:t>3</w:t>
            </w:r>
          </w:p>
        </w:tc>
        <w:tc>
          <w:tcPr>
            <w:tcW w:w="1250" w:type="pct"/>
            <w:vAlign w:val="center"/>
          </w:tcPr>
          <w:p w14:paraId="188AA35C">
            <w:pPr>
              <w:adjustRightInd w:val="0"/>
              <w:snapToGrid w:val="0"/>
              <w:ind w:right="126" w:rightChars="60"/>
              <w:jc w:val="center"/>
              <w:rPr>
                <w:bCs/>
              </w:rPr>
            </w:pPr>
            <w:r>
              <w:rPr>
                <w:bCs/>
              </w:rPr>
              <w:t>测量结果的</w:t>
            </w:r>
            <w:r>
              <w:rPr>
                <w:rFonts w:hint="eastAsia"/>
                <w:bCs/>
              </w:rPr>
              <w:t>修约间距</w:t>
            </w:r>
          </w:p>
        </w:tc>
        <w:tc>
          <w:tcPr>
            <w:tcW w:w="1250" w:type="pct"/>
            <w:vAlign w:val="center"/>
          </w:tcPr>
          <w:p w14:paraId="19A9C2A9">
            <w:pPr>
              <w:adjustRightInd w:val="0"/>
              <w:snapToGrid w:val="0"/>
              <w:jc w:val="center"/>
              <w:rPr>
                <w:szCs w:val="21"/>
              </w:rPr>
            </w:pPr>
            <w:r>
              <w:rPr>
                <w:szCs w:val="21"/>
              </w:rPr>
              <w:t>电能</w:t>
            </w:r>
          </w:p>
        </w:tc>
        <w:tc>
          <w:tcPr>
            <w:tcW w:w="1250" w:type="pct"/>
            <w:vAlign w:val="center"/>
          </w:tcPr>
          <w:p w14:paraId="209D96C0">
            <w:pPr>
              <w:adjustRightInd w:val="0"/>
              <w:snapToGrid w:val="0"/>
              <w:jc w:val="center"/>
              <w:rPr>
                <w:sz w:val="24"/>
              </w:rPr>
            </w:pPr>
            <w:r>
              <w:t>0.0</w:t>
            </w:r>
            <w:r>
              <w:rPr>
                <w:rFonts w:hint="eastAsia"/>
              </w:rPr>
              <w:t>0</w:t>
            </w:r>
            <w:r>
              <w:rPr>
                <w:rFonts w:hint="eastAsia"/>
                <w:lang w:val="en-US" w:eastAsia="zh-CN"/>
              </w:rPr>
              <w:t>144</w:t>
            </w:r>
            <w:r>
              <w:t>%</w:t>
            </w:r>
          </w:p>
        </w:tc>
      </w:tr>
    </w:tbl>
    <w:p w14:paraId="0355270B">
      <w:pPr>
        <w:spacing w:before="156" w:beforeLines="50"/>
        <w:rPr>
          <w:bCs/>
        </w:rPr>
      </w:pPr>
      <w:r>
        <w:rPr>
          <w:bCs/>
        </w:rPr>
        <w:t xml:space="preserve"> </w:t>
      </w:r>
    </w:p>
    <w:p w14:paraId="74C77329">
      <w:pPr>
        <w:spacing w:before="156" w:beforeLines="50" w:after="240"/>
        <w:ind w:firstLine="435"/>
      </w:pPr>
      <w:r>
        <w:rPr>
          <w:rFonts w:hint="eastAsia"/>
          <w:bCs/>
        </w:rPr>
        <w:t>5</w:t>
      </w:r>
      <w:r>
        <w:rPr>
          <w:bCs/>
        </w:rPr>
        <w:t>．</w:t>
      </w:r>
      <w:r>
        <w:rPr>
          <w:rFonts w:hint="eastAsia"/>
          <w:bCs/>
        </w:rPr>
        <w:t>合成标准不确定度及扩展不确定度</w:t>
      </w:r>
      <w:r>
        <w:t xml:space="preserve">  </w:t>
      </w:r>
    </w:p>
    <w:p w14:paraId="2299E582">
      <w:pPr>
        <w:spacing w:before="156" w:beforeLines="50"/>
        <w:ind w:firstLine="420" w:firstLineChars="200"/>
        <w:rPr>
          <w:szCs w:val="21"/>
        </w:rPr>
      </w:pPr>
      <w:r>
        <w:rPr>
          <w:szCs w:val="21"/>
        </w:rPr>
        <w:t>以上各项标准不确定度分量是互不相关的，所以合成标准不确定度为：</w:t>
      </w:r>
    </w:p>
    <w:p w14:paraId="05066F24">
      <w:pPr>
        <w:spacing w:before="156" w:beforeLines="50"/>
        <w:ind w:right="630" w:firstLine="420" w:firstLineChars="200"/>
        <w:jc w:val="center"/>
        <w:rPr>
          <w:szCs w:val="21"/>
        </w:rPr>
      </w:pPr>
      <w:r>
        <w:rPr>
          <w:position w:val="-14"/>
          <w:szCs w:val="21"/>
        </w:rPr>
        <w:object>
          <v:shape id="_x0000_i1089" o:spt="75" type="#_x0000_t75" style="height:22.45pt;width:97.9pt;" o:ole="t" filled="f" o:preferrelative="t" stroked="f" coordsize="21600,21600">
            <v:path/>
            <v:fill on="f" focussize="0,0"/>
            <v:stroke on="f" joinstyle="miter"/>
            <v:imagedata r:id="rId51" o:title=""/>
            <o:lock v:ext="edit" aspectratio="t"/>
            <w10:wrap type="none"/>
            <w10:anchorlock/>
          </v:shape>
          <o:OLEObject Type="Embed" ProgID="Equation.DSMT4" ShapeID="_x0000_i1089" DrawAspect="Content" ObjectID="_1468075779" r:id="rId86">
            <o:LockedField>false</o:LockedField>
          </o:OLEObject>
        </w:object>
      </w:r>
    </w:p>
    <w:p w14:paraId="62E2736B">
      <w:pPr>
        <w:spacing w:before="156" w:beforeLines="50"/>
        <w:ind w:firstLine="420" w:firstLineChars="200"/>
        <w:rPr>
          <w:szCs w:val="21"/>
          <w:lang w:val="es-ES"/>
        </w:rPr>
      </w:pPr>
      <w:r>
        <w:t>测量结果可认为是正态分布，扩展不确定度</w:t>
      </w:r>
      <w:r>
        <w:rPr>
          <w:i/>
          <w:iCs/>
          <w:position w:val="-6"/>
        </w:rPr>
        <w:object>
          <v:shape id="_x0000_i1090" o:spt="75" type="#_x0000_t75" style="height:13.8pt;width:13.25pt;" o:ole="t" filled="f" o:preferrelative="t" stroked="f" coordsize="21600,21600">
            <v:path/>
            <v:fill on="f" focussize="0,0"/>
            <v:stroke on="f" joinstyle="miter"/>
            <v:imagedata r:id="rId53" o:title=""/>
            <o:lock v:ext="edit" aspectratio="t"/>
            <w10:wrap type="none"/>
            <w10:anchorlock/>
          </v:shape>
          <o:OLEObject Type="Embed" ProgID="Equation.DSMT4" ShapeID="_x0000_i1090" DrawAspect="Content" ObjectID="_1468075780" r:id="rId87">
            <o:LockedField>false</o:LockedField>
          </o:OLEObject>
        </w:object>
      </w:r>
      <w:r>
        <w:t>等于合成标准不确定度</w:t>
      </w:r>
      <w:r>
        <w:rPr>
          <w:i/>
          <w:position w:val="-12"/>
          <w:szCs w:val="21"/>
        </w:rPr>
        <w:object>
          <v:shape id="_x0000_i1091" o:spt="75" type="#_x0000_t75" style="height:18.45pt;width:13.25pt;" o:ole="t" filled="f" o:preferrelative="t" stroked="f" coordsize="21600,21600">
            <v:path/>
            <v:fill on="f" focussize="0,0"/>
            <v:stroke on="f" joinstyle="miter"/>
            <v:imagedata r:id="rId55" o:title=""/>
            <o:lock v:ext="edit" aspectratio="t"/>
            <w10:wrap type="none"/>
            <w10:anchorlock/>
          </v:shape>
          <o:OLEObject Type="Embed" ProgID="Equation.DSMT4" ShapeID="_x0000_i1091" DrawAspect="Content" ObjectID="_1468075781" r:id="rId88">
            <o:LockedField>false</o:LockedField>
          </o:OLEObject>
        </w:object>
      </w:r>
      <w:r>
        <w:rPr>
          <w:szCs w:val="21"/>
        </w:rPr>
        <w:t>和包含因子</w:t>
      </w:r>
      <w:r>
        <w:rPr>
          <w:i/>
          <w:iCs/>
          <w:position w:val="-10"/>
          <w:szCs w:val="21"/>
        </w:rPr>
        <w:object>
          <v:shape id="_x0000_i1092" o:spt="75" type="#_x0000_t75" style="height:16.15pt;width:13.8pt;" o:ole="t" filled="f" o:preferrelative="t" stroked="f" coordsize="21600,21600">
            <v:path/>
            <v:fill on="f" focussize="0,0"/>
            <v:stroke on="f" joinstyle="miter"/>
            <v:imagedata r:id="rId57" o:title=""/>
            <o:lock v:ext="edit" aspectratio="t"/>
            <w10:wrap type="none"/>
            <w10:anchorlock/>
          </v:shape>
          <o:OLEObject Type="Embed" ProgID="Equation.DSMT4" ShapeID="_x0000_i1092" DrawAspect="Content" ObjectID="_1468075782" r:id="rId89">
            <o:LockedField>false</o:LockedField>
          </o:OLEObject>
        </w:object>
      </w:r>
      <w:r>
        <w:rPr>
          <w:szCs w:val="21"/>
        </w:rPr>
        <w:t>的乘积。取</w:t>
      </w:r>
      <w:r>
        <w:rPr>
          <w:i/>
          <w:iCs/>
          <w:position w:val="-10"/>
          <w:szCs w:val="21"/>
        </w:rPr>
        <w:object>
          <v:shape id="_x0000_i1093" o:spt="75" type="#_x0000_t75" style="height:16.15pt;width:32.25pt;" o:ole="t" filled="f" o:preferrelative="t" stroked="f" coordsize="21600,21600">
            <v:path/>
            <v:fill on="f" focussize="0,0"/>
            <v:stroke on="f" joinstyle="miter"/>
            <v:imagedata r:id="rId59" o:title=""/>
            <o:lock v:ext="edit" aspectratio="t"/>
            <w10:wrap type="none"/>
            <w10:anchorlock/>
          </v:shape>
          <o:OLEObject Type="Embed" ProgID="Equation.DSMT4" ShapeID="_x0000_i1093" DrawAspect="Content" ObjectID="_1468075783" r:id="rId90">
            <o:LockedField>false</o:LockedField>
          </o:OLEObject>
        </w:object>
      </w:r>
      <w:r>
        <w:rPr>
          <w:szCs w:val="21"/>
        </w:rPr>
        <w:t>, 置信概率为95%，</w:t>
      </w:r>
      <w:r>
        <w:rPr>
          <w:bCs/>
        </w:rPr>
        <w:t>得到的扩展不确定度结果见表8</w:t>
      </w:r>
      <w:r>
        <w:t>，其中，</w:t>
      </w:r>
      <w:r>
        <w:rPr>
          <w:position w:val="-12"/>
          <w:szCs w:val="21"/>
        </w:rPr>
        <w:object>
          <v:shape id="_x0000_i1094" o:spt="75" type="#_x0000_t75" style="height:18.45pt;width:77.75pt;" o:ole="t" filled="f" o:preferrelative="t" stroked="f" coordsize="21600,21600">
            <v:path/>
            <v:fill on="f" focussize="0,0"/>
            <v:stroke on="f" joinstyle="miter"/>
            <v:imagedata r:id="rId61" o:title=""/>
            <o:lock v:ext="edit" aspectratio="t"/>
            <w10:wrap type="none"/>
            <w10:anchorlock/>
          </v:shape>
          <o:OLEObject Type="Embed" ProgID="Equation.DSMT4" ShapeID="_x0000_i1094" DrawAspect="Content" ObjectID="_1468075784" r:id="rId91">
            <o:LockedField>false</o:LockedField>
          </o:OLEObject>
        </w:object>
      </w:r>
      <w:r>
        <w:rPr>
          <w:szCs w:val="21"/>
          <w:lang w:val="es-ES"/>
        </w:rPr>
        <w:t>。</w:t>
      </w:r>
    </w:p>
    <w:p w14:paraId="62D643E2">
      <w:pPr>
        <w:spacing w:before="156" w:beforeLines="50"/>
        <w:ind w:firstLine="315" w:firstLineChars="150"/>
        <w:jc w:val="center"/>
        <w:rPr>
          <w:szCs w:val="21"/>
        </w:rPr>
      </w:pPr>
      <w:bookmarkStart w:id="1" w:name="_GoBack"/>
      <w:bookmarkEnd w:id="1"/>
      <w:r>
        <w:rPr>
          <w:szCs w:val="21"/>
        </w:rPr>
        <w:t>表8</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29"/>
        <w:gridCol w:w="1531"/>
        <w:gridCol w:w="1368"/>
        <w:gridCol w:w="1531"/>
        <w:gridCol w:w="1531"/>
        <w:gridCol w:w="2064"/>
      </w:tblGrid>
      <w:tr w14:paraId="034A0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 w:hRule="atLeast"/>
          <w:jc w:val="center"/>
        </w:trPr>
        <w:tc>
          <w:tcPr>
            <w:tcW w:w="928" w:type="pct"/>
            <w:vAlign w:val="center"/>
          </w:tcPr>
          <w:p w14:paraId="50F72AAA">
            <w:pPr>
              <w:spacing w:line="288" w:lineRule="auto"/>
              <w:jc w:val="center"/>
              <w:rPr>
                <w:szCs w:val="21"/>
              </w:rPr>
            </w:pPr>
            <w:r>
              <w:rPr>
                <w:rFonts w:hint="eastAsia"/>
                <w:szCs w:val="21"/>
              </w:rPr>
              <w:t>参数</w:t>
            </w:r>
          </w:p>
        </w:tc>
        <w:tc>
          <w:tcPr>
            <w:tcW w:w="777" w:type="pct"/>
            <w:vAlign w:val="center"/>
          </w:tcPr>
          <w:p w14:paraId="352C955F">
            <w:pPr>
              <w:spacing w:line="288" w:lineRule="auto"/>
              <w:jc w:val="center"/>
              <w:rPr>
                <w:szCs w:val="21"/>
              </w:rPr>
            </w:pPr>
            <w:r>
              <w:rPr>
                <w:position w:val="-12"/>
                <w:szCs w:val="21"/>
              </w:rPr>
              <w:object>
                <v:shape id="_x0000_i1095" o:spt="75" type="#_x0000_t75" style="height:18.45pt;width:12.1pt;" o:ole="t" filled="f" o:preferrelative="t" stroked="f" coordsize="21600,21600">
                  <v:path/>
                  <v:fill on="f" focussize="0,0"/>
                  <v:stroke on="f" joinstyle="miter"/>
                  <v:imagedata r:id="rId63" o:title=""/>
                  <o:lock v:ext="edit" aspectratio="t"/>
                  <w10:wrap type="none"/>
                  <w10:anchorlock/>
                </v:shape>
                <o:OLEObject Type="Embed" ProgID="Equation.DSMT4" ShapeID="_x0000_i1095" DrawAspect="Content" ObjectID="_1468075785" r:id="rId92">
                  <o:LockedField>false</o:LockedField>
                </o:OLEObject>
              </w:object>
            </w:r>
          </w:p>
        </w:tc>
        <w:tc>
          <w:tcPr>
            <w:tcW w:w="694" w:type="pct"/>
            <w:vAlign w:val="center"/>
          </w:tcPr>
          <w:p w14:paraId="0A6B40A5">
            <w:pPr>
              <w:spacing w:line="288" w:lineRule="auto"/>
              <w:jc w:val="center"/>
              <w:rPr>
                <w:szCs w:val="21"/>
              </w:rPr>
            </w:pPr>
            <w:r>
              <w:rPr>
                <w:position w:val="-12"/>
                <w:szCs w:val="21"/>
              </w:rPr>
              <w:object>
                <v:shape id="_x0000_i1096" o:spt="75" type="#_x0000_t75" style="height:18.45pt;width:13.25pt;" o:ole="t" filled="f" o:preferrelative="t" stroked="f" coordsize="21600,21600">
                  <v:path/>
                  <v:fill on="f" focussize="0,0"/>
                  <v:stroke on="f" joinstyle="miter"/>
                  <v:imagedata r:id="rId65" o:title=""/>
                  <o:lock v:ext="edit" aspectratio="t"/>
                  <w10:wrap type="none"/>
                  <w10:anchorlock/>
                </v:shape>
                <o:OLEObject Type="Embed" ProgID="Equation.DSMT4" ShapeID="_x0000_i1096" DrawAspect="Content" ObjectID="_1468075786" r:id="rId93">
                  <o:LockedField>false</o:LockedField>
                </o:OLEObject>
              </w:object>
            </w:r>
          </w:p>
        </w:tc>
        <w:tc>
          <w:tcPr>
            <w:tcW w:w="777" w:type="pct"/>
            <w:vAlign w:val="center"/>
          </w:tcPr>
          <w:p w14:paraId="4F9BB955">
            <w:pPr>
              <w:spacing w:line="288" w:lineRule="auto"/>
              <w:jc w:val="center"/>
              <w:rPr>
                <w:szCs w:val="21"/>
              </w:rPr>
            </w:pPr>
            <w:r>
              <w:rPr>
                <w:position w:val="-12"/>
                <w:szCs w:val="21"/>
              </w:rPr>
              <w:object>
                <v:shape id="_x0000_i1097" o:spt="75" type="#_x0000_t75" style="height:18.45pt;width:13.25pt;" o:ole="t" filled="f" o:preferrelative="t" stroked="f" coordsize="21600,21600">
                  <v:path/>
                  <v:fill on="f" focussize="0,0"/>
                  <v:stroke on="f" joinstyle="miter"/>
                  <v:imagedata r:id="rId67" o:title=""/>
                  <o:lock v:ext="edit" aspectratio="t"/>
                  <w10:wrap type="none"/>
                  <w10:anchorlock/>
                </v:shape>
                <o:OLEObject Type="Embed" ProgID="Equation.DSMT4" ShapeID="_x0000_i1097" DrawAspect="Content" ObjectID="_1468075787" r:id="rId94">
                  <o:LockedField>false</o:LockedField>
                </o:OLEObject>
              </w:object>
            </w:r>
          </w:p>
        </w:tc>
        <w:tc>
          <w:tcPr>
            <w:tcW w:w="777" w:type="pct"/>
            <w:vAlign w:val="center"/>
          </w:tcPr>
          <w:p w14:paraId="2421BEFB">
            <w:pPr>
              <w:spacing w:line="288" w:lineRule="auto"/>
              <w:jc w:val="center"/>
              <w:rPr>
                <w:szCs w:val="21"/>
              </w:rPr>
            </w:pPr>
            <w:r>
              <w:rPr>
                <w:position w:val="-12"/>
                <w:szCs w:val="21"/>
              </w:rPr>
              <w:object>
                <v:shape id="_x0000_i1098" o:spt="75" type="#_x0000_t75" style="height:18.45pt;width:13.25pt;" o:ole="t" filled="f" o:preferrelative="t" stroked="f" coordsize="21600,21600">
                  <v:path/>
                  <v:fill on="f" focussize="0,0"/>
                  <v:stroke on="f" joinstyle="miter"/>
                  <v:imagedata r:id="rId69" o:title=""/>
                  <o:lock v:ext="edit" aspectratio="t"/>
                  <w10:wrap type="none"/>
                  <w10:anchorlock/>
                </v:shape>
                <o:OLEObject Type="Embed" ProgID="Equation.DSMT4" ShapeID="_x0000_i1098" DrawAspect="Content" ObjectID="_1468075788" r:id="rId95">
                  <o:LockedField>false</o:LockedField>
                </o:OLEObject>
              </w:object>
            </w:r>
          </w:p>
        </w:tc>
        <w:tc>
          <w:tcPr>
            <w:tcW w:w="1047" w:type="pct"/>
            <w:vAlign w:val="center"/>
          </w:tcPr>
          <w:p w14:paraId="3DA87980">
            <w:pPr>
              <w:spacing w:line="288" w:lineRule="auto"/>
              <w:jc w:val="center"/>
              <w:rPr>
                <w:szCs w:val="21"/>
              </w:rPr>
            </w:pPr>
            <w:r>
              <w:rPr>
                <w:i/>
                <w:color w:val="000000"/>
              </w:rPr>
              <w:t>U</w:t>
            </w:r>
          </w:p>
        </w:tc>
      </w:tr>
      <w:tr w14:paraId="09688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928" w:type="pct"/>
            <w:vAlign w:val="center"/>
          </w:tcPr>
          <w:p w14:paraId="49F8B3B9">
            <w:pPr>
              <w:spacing w:line="288" w:lineRule="auto"/>
              <w:jc w:val="center"/>
              <w:rPr>
                <w:szCs w:val="21"/>
              </w:rPr>
            </w:pPr>
            <w:r>
              <w:rPr>
                <w:szCs w:val="21"/>
              </w:rPr>
              <w:t>谐波电</w:t>
            </w:r>
            <w:r>
              <w:rPr>
                <w:rFonts w:hint="eastAsia"/>
                <w:szCs w:val="21"/>
              </w:rPr>
              <w:t>能</w:t>
            </w:r>
          </w:p>
        </w:tc>
        <w:tc>
          <w:tcPr>
            <w:tcW w:w="777" w:type="pct"/>
            <w:vAlign w:val="center"/>
          </w:tcPr>
          <w:p w14:paraId="6513A330">
            <w:pPr>
              <w:jc w:val="center"/>
              <w:rPr>
                <w:sz w:val="24"/>
              </w:rPr>
            </w:pPr>
            <w:r>
              <w:t>0.0</w:t>
            </w:r>
            <w:r>
              <w:rPr>
                <w:rFonts w:hint="eastAsia"/>
                <w:lang w:val="en-US" w:eastAsia="zh-CN"/>
              </w:rPr>
              <w:t>00096</w:t>
            </w:r>
            <w:r>
              <w:rPr>
                <w:rFonts w:hint="eastAsia"/>
              </w:rPr>
              <w:t>9</w:t>
            </w:r>
            <w:r>
              <w:t>%</w:t>
            </w:r>
          </w:p>
        </w:tc>
        <w:tc>
          <w:tcPr>
            <w:tcW w:w="694" w:type="pct"/>
            <w:vAlign w:val="center"/>
          </w:tcPr>
          <w:p w14:paraId="3D685742">
            <w:pPr>
              <w:jc w:val="center"/>
              <w:rPr>
                <w:sz w:val="24"/>
              </w:rPr>
            </w:pPr>
            <w:r>
              <w:t>0.0</w:t>
            </w:r>
            <w:r>
              <w:rPr>
                <w:rFonts w:hint="eastAsia"/>
              </w:rPr>
              <w:t>12</w:t>
            </w:r>
            <w:r>
              <w:t>%</w:t>
            </w:r>
          </w:p>
        </w:tc>
        <w:tc>
          <w:tcPr>
            <w:tcW w:w="777" w:type="pct"/>
            <w:vAlign w:val="center"/>
          </w:tcPr>
          <w:p w14:paraId="66E84B40">
            <w:pPr>
              <w:jc w:val="center"/>
              <w:rPr>
                <w:sz w:val="24"/>
              </w:rPr>
            </w:pPr>
            <w:r>
              <w:t>0.00</w:t>
            </w:r>
            <w:r>
              <w:rPr>
                <w:rFonts w:hint="eastAsia"/>
                <w:lang w:val="en-US" w:eastAsia="zh-CN"/>
              </w:rPr>
              <w:t>144</w:t>
            </w:r>
            <w:r>
              <w:t>%</w:t>
            </w:r>
          </w:p>
        </w:tc>
        <w:tc>
          <w:tcPr>
            <w:tcW w:w="777" w:type="pct"/>
            <w:vAlign w:val="center"/>
          </w:tcPr>
          <w:p w14:paraId="789BD301">
            <w:pPr>
              <w:jc w:val="center"/>
              <w:rPr>
                <w:sz w:val="24"/>
              </w:rPr>
            </w:pPr>
            <w:r>
              <w:t>0.0</w:t>
            </w:r>
            <w:r>
              <w:rPr>
                <w:rFonts w:hint="eastAsia"/>
                <w:lang w:val="en-US" w:eastAsia="zh-CN"/>
              </w:rPr>
              <w:t>121</w:t>
            </w:r>
            <w:r>
              <w:t>%</w:t>
            </w:r>
          </w:p>
        </w:tc>
        <w:tc>
          <w:tcPr>
            <w:tcW w:w="1047" w:type="pct"/>
            <w:vAlign w:val="center"/>
          </w:tcPr>
          <w:p w14:paraId="0CFAB7C4">
            <w:pPr>
              <w:jc w:val="center"/>
              <w:rPr>
                <w:color w:val="000000"/>
                <w:sz w:val="24"/>
              </w:rPr>
            </w:pPr>
            <w:r>
              <w:rPr>
                <w:color w:val="000000"/>
              </w:rPr>
              <w:t>0.0</w:t>
            </w:r>
            <w:r>
              <w:rPr>
                <w:rFonts w:hint="eastAsia"/>
                <w:color w:val="000000"/>
                <w:lang w:val="en-US" w:eastAsia="zh-CN"/>
              </w:rPr>
              <w:t>24</w:t>
            </w:r>
            <w:r>
              <w:t>%</w:t>
            </w:r>
          </w:p>
        </w:tc>
      </w:tr>
    </w:tbl>
    <w:p w14:paraId="395745DA">
      <w:pPr>
        <w:spacing w:before="156" w:beforeLines="50" w:line="0" w:lineRule="atLeast"/>
        <w:rPr>
          <w:szCs w:val="21"/>
        </w:rPr>
      </w:pPr>
    </w:p>
    <w:p w14:paraId="641F9B47">
      <w:pPr>
        <w:spacing w:before="156" w:beforeLines="50" w:line="0" w:lineRule="atLeast"/>
        <w:rPr>
          <w:szCs w:val="21"/>
        </w:rPr>
      </w:pPr>
    </w:p>
    <w:p w14:paraId="2B94DFE4">
      <w:pPr>
        <w:spacing w:before="156" w:beforeLines="50" w:line="0" w:lineRule="atLeast"/>
        <w:rPr>
          <w:szCs w:val="21"/>
        </w:rPr>
      </w:pPr>
    </w:p>
    <w:p w14:paraId="04F4B25F">
      <w:pPr>
        <w:spacing w:before="156" w:beforeLines="50" w:line="0" w:lineRule="atLeast"/>
        <w:jc w:val="center"/>
        <w:rPr>
          <w:rFonts w:hint="eastAsia" w:ascii="黑体" w:hAnsi="黑体" w:eastAsia="黑体"/>
        </w:rPr>
      </w:pPr>
      <w:r>
        <w:rPr>
          <w:rFonts w:ascii="黑体" w:hAnsi="黑体" w:eastAsia="黑体"/>
          <w:szCs w:val="21"/>
        </w:rPr>
        <w:t>以下空白</w:t>
      </w:r>
    </w:p>
    <w:sectPr>
      <w:headerReference r:id="rId9" w:type="default"/>
      <w:footerReference r:id="rId10" w:type="default"/>
      <w:pgSz w:w="11906" w:h="16838"/>
      <w:pgMar w:top="1021" w:right="1134" w:bottom="1021"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F0587">
    <w:pPr>
      <w:pStyle w:val="5"/>
      <w:jc w:val="center"/>
    </w:pPr>
  </w:p>
  <w:p w14:paraId="4813DBFE">
    <w:pPr>
      <w:pStyle w:val="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9EF6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4551048"/>
      <w:docPartObj>
        <w:docPartGallery w:val="autotext"/>
      </w:docPartObj>
    </w:sdtPr>
    <w:sdtContent>
      <w:p w14:paraId="2F7B4BC1">
        <w:pPr>
          <w:pStyle w:val="5"/>
          <w:jc w:val="center"/>
        </w:pPr>
        <w:r>
          <w:t>第</w:t>
        </w:r>
        <w:r>
          <w:fldChar w:fldCharType="begin"/>
        </w:r>
        <w:r>
          <w:instrText xml:space="preserve"> PAGE   \* MERGEFORMAT </w:instrText>
        </w:r>
        <w:r>
          <w:fldChar w:fldCharType="separate"/>
        </w:r>
        <w:r>
          <w:rPr>
            <w:lang w:val="zh-CN"/>
          </w:rPr>
          <w:t>0</w:t>
        </w:r>
        <w:r>
          <w:rPr>
            <w:lang w:val="zh-CN"/>
          </w:rPr>
          <w:fldChar w:fldCharType="end"/>
        </w:r>
        <w:r>
          <w:t>页</w:t>
        </w:r>
      </w:p>
    </w:sdtContent>
  </w:sdt>
  <w:p w14:paraId="2815EE40">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35CD6">
    <w:pPr>
      <w:pStyle w:val="5"/>
      <w:jc w:val="center"/>
    </w:pPr>
    <w:r>
      <w:rPr>
        <w:rFonts w:hint="eastAsia"/>
        <w:kern w:val="0"/>
        <w:szCs w:val="21"/>
      </w:rPr>
      <w:t xml:space="preserve">共 7 页  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AF7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C4C5">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A13B9">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B3F96">
    <w:pPr>
      <w:pStyle w:val="6"/>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urrentStyleCount" w:val="5"/>
  </w:docVars>
  <w:rsids>
    <w:rsidRoot w:val="0048530D"/>
    <w:rsid w:val="00001E31"/>
    <w:rsid w:val="00002108"/>
    <w:rsid w:val="0000281A"/>
    <w:rsid w:val="00002D01"/>
    <w:rsid w:val="00002DE6"/>
    <w:rsid w:val="000030A2"/>
    <w:rsid w:val="00004246"/>
    <w:rsid w:val="000046F5"/>
    <w:rsid w:val="000049E0"/>
    <w:rsid w:val="00006D92"/>
    <w:rsid w:val="00012DB3"/>
    <w:rsid w:val="00014447"/>
    <w:rsid w:val="00015BDA"/>
    <w:rsid w:val="00020CE0"/>
    <w:rsid w:val="000242B8"/>
    <w:rsid w:val="0002452B"/>
    <w:rsid w:val="0002676C"/>
    <w:rsid w:val="00027157"/>
    <w:rsid w:val="000304E8"/>
    <w:rsid w:val="00036767"/>
    <w:rsid w:val="00043128"/>
    <w:rsid w:val="00043CF2"/>
    <w:rsid w:val="00045B76"/>
    <w:rsid w:val="000465A5"/>
    <w:rsid w:val="00047019"/>
    <w:rsid w:val="0005094B"/>
    <w:rsid w:val="00055624"/>
    <w:rsid w:val="00060090"/>
    <w:rsid w:val="00066001"/>
    <w:rsid w:val="00072B3D"/>
    <w:rsid w:val="00072CA7"/>
    <w:rsid w:val="000747EF"/>
    <w:rsid w:val="00077046"/>
    <w:rsid w:val="00080C43"/>
    <w:rsid w:val="000827D3"/>
    <w:rsid w:val="000867BE"/>
    <w:rsid w:val="000906C1"/>
    <w:rsid w:val="00092C69"/>
    <w:rsid w:val="00093F78"/>
    <w:rsid w:val="000A11F2"/>
    <w:rsid w:val="000A18CB"/>
    <w:rsid w:val="000A245E"/>
    <w:rsid w:val="000A25BC"/>
    <w:rsid w:val="000A4253"/>
    <w:rsid w:val="000A52C9"/>
    <w:rsid w:val="000A575A"/>
    <w:rsid w:val="000A5B6C"/>
    <w:rsid w:val="000B21EB"/>
    <w:rsid w:val="000B2D35"/>
    <w:rsid w:val="000B317A"/>
    <w:rsid w:val="000B3F15"/>
    <w:rsid w:val="000C1BAC"/>
    <w:rsid w:val="000C2439"/>
    <w:rsid w:val="000C3D72"/>
    <w:rsid w:val="000C41EF"/>
    <w:rsid w:val="000C55B9"/>
    <w:rsid w:val="000D4B5A"/>
    <w:rsid w:val="000E07BF"/>
    <w:rsid w:val="000E16F3"/>
    <w:rsid w:val="000E3A95"/>
    <w:rsid w:val="000E3FBE"/>
    <w:rsid w:val="000E4B2F"/>
    <w:rsid w:val="000E5716"/>
    <w:rsid w:val="000E7488"/>
    <w:rsid w:val="000F39B7"/>
    <w:rsid w:val="000F6D89"/>
    <w:rsid w:val="001009B8"/>
    <w:rsid w:val="00100FD1"/>
    <w:rsid w:val="00101B8D"/>
    <w:rsid w:val="00102280"/>
    <w:rsid w:val="00103F72"/>
    <w:rsid w:val="0010668D"/>
    <w:rsid w:val="001067B6"/>
    <w:rsid w:val="00106C95"/>
    <w:rsid w:val="00107BA8"/>
    <w:rsid w:val="001114D3"/>
    <w:rsid w:val="00112FEF"/>
    <w:rsid w:val="001143CC"/>
    <w:rsid w:val="00115538"/>
    <w:rsid w:val="001158B9"/>
    <w:rsid w:val="00115E03"/>
    <w:rsid w:val="0011601A"/>
    <w:rsid w:val="00116AFA"/>
    <w:rsid w:val="00124CE2"/>
    <w:rsid w:val="00124F7E"/>
    <w:rsid w:val="001259A6"/>
    <w:rsid w:val="001271E8"/>
    <w:rsid w:val="00131790"/>
    <w:rsid w:val="001325A9"/>
    <w:rsid w:val="001339C7"/>
    <w:rsid w:val="001368E5"/>
    <w:rsid w:val="001374A1"/>
    <w:rsid w:val="0014341B"/>
    <w:rsid w:val="001458C5"/>
    <w:rsid w:val="0014599C"/>
    <w:rsid w:val="00147BE7"/>
    <w:rsid w:val="00152A70"/>
    <w:rsid w:val="00155BE9"/>
    <w:rsid w:val="00157B6E"/>
    <w:rsid w:val="00161631"/>
    <w:rsid w:val="00163C78"/>
    <w:rsid w:val="00165055"/>
    <w:rsid w:val="00166500"/>
    <w:rsid w:val="001670C9"/>
    <w:rsid w:val="001761F1"/>
    <w:rsid w:val="0018032D"/>
    <w:rsid w:val="00182C19"/>
    <w:rsid w:val="0018420C"/>
    <w:rsid w:val="0018541E"/>
    <w:rsid w:val="00185958"/>
    <w:rsid w:val="00187151"/>
    <w:rsid w:val="001874BD"/>
    <w:rsid w:val="001956FC"/>
    <w:rsid w:val="00195DD5"/>
    <w:rsid w:val="00197C2B"/>
    <w:rsid w:val="001A0246"/>
    <w:rsid w:val="001A16B0"/>
    <w:rsid w:val="001A23B7"/>
    <w:rsid w:val="001A2904"/>
    <w:rsid w:val="001A7F44"/>
    <w:rsid w:val="001B37F0"/>
    <w:rsid w:val="001B3AFF"/>
    <w:rsid w:val="001B414B"/>
    <w:rsid w:val="001B4831"/>
    <w:rsid w:val="001B4F3E"/>
    <w:rsid w:val="001C05BE"/>
    <w:rsid w:val="001C4178"/>
    <w:rsid w:val="001C602D"/>
    <w:rsid w:val="001C6A9E"/>
    <w:rsid w:val="001D0650"/>
    <w:rsid w:val="001D0844"/>
    <w:rsid w:val="001D45E9"/>
    <w:rsid w:val="001E02EB"/>
    <w:rsid w:val="001E0919"/>
    <w:rsid w:val="001E480A"/>
    <w:rsid w:val="001E5E36"/>
    <w:rsid w:val="001E62D5"/>
    <w:rsid w:val="001E69F8"/>
    <w:rsid w:val="001E6BB4"/>
    <w:rsid w:val="001F0953"/>
    <w:rsid w:val="001F1889"/>
    <w:rsid w:val="0020020B"/>
    <w:rsid w:val="00202CB3"/>
    <w:rsid w:val="00202F8B"/>
    <w:rsid w:val="00203C7E"/>
    <w:rsid w:val="00204C31"/>
    <w:rsid w:val="002112E8"/>
    <w:rsid w:val="00211591"/>
    <w:rsid w:val="00212B9C"/>
    <w:rsid w:val="00212FF5"/>
    <w:rsid w:val="0021352A"/>
    <w:rsid w:val="002163F2"/>
    <w:rsid w:val="00220288"/>
    <w:rsid w:val="002209B6"/>
    <w:rsid w:val="0022322E"/>
    <w:rsid w:val="00223E8B"/>
    <w:rsid w:val="00226556"/>
    <w:rsid w:val="00226AA6"/>
    <w:rsid w:val="0022715D"/>
    <w:rsid w:val="00227F57"/>
    <w:rsid w:val="00230313"/>
    <w:rsid w:val="00231DC2"/>
    <w:rsid w:val="00234364"/>
    <w:rsid w:val="0023551C"/>
    <w:rsid w:val="00235AC5"/>
    <w:rsid w:val="0023618F"/>
    <w:rsid w:val="0023707E"/>
    <w:rsid w:val="00237CA7"/>
    <w:rsid w:val="0024071F"/>
    <w:rsid w:val="00240902"/>
    <w:rsid w:val="00243B53"/>
    <w:rsid w:val="00245171"/>
    <w:rsid w:val="002509EC"/>
    <w:rsid w:val="00252BB5"/>
    <w:rsid w:val="00253580"/>
    <w:rsid w:val="0025437F"/>
    <w:rsid w:val="00254C76"/>
    <w:rsid w:val="0025514C"/>
    <w:rsid w:val="00255C5B"/>
    <w:rsid w:val="00256A59"/>
    <w:rsid w:val="00263B7F"/>
    <w:rsid w:val="00264528"/>
    <w:rsid w:val="00264EF7"/>
    <w:rsid w:val="002650EB"/>
    <w:rsid w:val="002668A5"/>
    <w:rsid w:val="00266995"/>
    <w:rsid w:val="002705BE"/>
    <w:rsid w:val="0027280E"/>
    <w:rsid w:val="0027304C"/>
    <w:rsid w:val="002738A1"/>
    <w:rsid w:val="00275AB2"/>
    <w:rsid w:val="00277507"/>
    <w:rsid w:val="002775E6"/>
    <w:rsid w:val="002853B4"/>
    <w:rsid w:val="00286FE3"/>
    <w:rsid w:val="0028765C"/>
    <w:rsid w:val="00290CA5"/>
    <w:rsid w:val="00291657"/>
    <w:rsid w:val="00292B6E"/>
    <w:rsid w:val="00294101"/>
    <w:rsid w:val="0029752D"/>
    <w:rsid w:val="002A43AC"/>
    <w:rsid w:val="002A4817"/>
    <w:rsid w:val="002A6793"/>
    <w:rsid w:val="002A6CCB"/>
    <w:rsid w:val="002A78D0"/>
    <w:rsid w:val="002A7D3C"/>
    <w:rsid w:val="002B01BB"/>
    <w:rsid w:val="002B14B5"/>
    <w:rsid w:val="002B6254"/>
    <w:rsid w:val="002C17BD"/>
    <w:rsid w:val="002C1FFF"/>
    <w:rsid w:val="002C3D1A"/>
    <w:rsid w:val="002C43FC"/>
    <w:rsid w:val="002C5CC2"/>
    <w:rsid w:val="002C70B0"/>
    <w:rsid w:val="002D150C"/>
    <w:rsid w:val="002D3CD0"/>
    <w:rsid w:val="002D502F"/>
    <w:rsid w:val="002D514B"/>
    <w:rsid w:val="002D6968"/>
    <w:rsid w:val="002E0E2B"/>
    <w:rsid w:val="002E24A6"/>
    <w:rsid w:val="002E4B69"/>
    <w:rsid w:val="002F169C"/>
    <w:rsid w:val="002F3ADC"/>
    <w:rsid w:val="002F441C"/>
    <w:rsid w:val="002F551A"/>
    <w:rsid w:val="002F7883"/>
    <w:rsid w:val="00301B52"/>
    <w:rsid w:val="00301CC9"/>
    <w:rsid w:val="00302BAD"/>
    <w:rsid w:val="00303E0C"/>
    <w:rsid w:val="003061E2"/>
    <w:rsid w:val="003062A1"/>
    <w:rsid w:val="0030695C"/>
    <w:rsid w:val="00312B19"/>
    <w:rsid w:val="00312EB2"/>
    <w:rsid w:val="003130A2"/>
    <w:rsid w:val="0031383B"/>
    <w:rsid w:val="0032000F"/>
    <w:rsid w:val="00320A0E"/>
    <w:rsid w:val="0032123A"/>
    <w:rsid w:val="00321319"/>
    <w:rsid w:val="00326A3F"/>
    <w:rsid w:val="0032767C"/>
    <w:rsid w:val="00327716"/>
    <w:rsid w:val="00331827"/>
    <w:rsid w:val="00334C57"/>
    <w:rsid w:val="00335F04"/>
    <w:rsid w:val="00336876"/>
    <w:rsid w:val="0033768C"/>
    <w:rsid w:val="00337B0D"/>
    <w:rsid w:val="003405FB"/>
    <w:rsid w:val="00341926"/>
    <w:rsid w:val="00342002"/>
    <w:rsid w:val="0034641D"/>
    <w:rsid w:val="00346BB2"/>
    <w:rsid w:val="00347A49"/>
    <w:rsid w:val="00351CB9"/>
    <w:rsid w:val="003549BA"/>
    <w:rsid w:val="00354EB6"/>
    <w:rsid w:val="003557B6"/>
    <w:rsid w:val="0035600F"/>
    <w:rsid w:val="003626B6"/>
    <w:rsid w:val="003665EF"/>
    <w:rsid w:val="00371824"/>
    <w:rsid w:val="00374488"/>
    <w:rsid w:val="0037548B"/>
    <w:rsid w:val="003754FA"/>
    <w:rsid w:val="003758F9"/>
    <w:rsid w:val="003759D8"/>
    <w:rsid w:val="00380A78"/>
    <w:rsid w:val="00382089"/>
    <w:rsid w:val="00395D18"/>
    <w:rsid w:val="00396F3A"/>
    <w:rsid w:val="00397DDF"/>
    <w:rsid w:val="003A2482"/>
    <w:rsid w:val="003A3A08"/>
    <w:rsid w:val="003A3A47"/>
    <w:rsid w:val="003A3A6E"/>
    <w:rsid w:val="003A508B"/>
    <w:rsid w:val="003A68D9"/>
    <w:rsid w:val="003B06A1"/>
    <w:rsid w:val="003B3DF5"/>
    <w:rsid w:val="003B4F1C"/>
    <w:rsid w:val="003B7864"/>
    <w:rsid w:val="003C11DC"/>
    <w:rsid w:val="003C3A15"/>
    <w:rsid w:val="003C4A91"/>
    <w:rsid w:val="003C6170"/>
    <w:rsid w:val="003C6E02"/>
    <w:rsid w:val="003C7775"/>
    <w:rsid w:val="003D05C2"/>
    <w:rsid w:val="003D071E"/>
    <w:rsid w:val="003E1000"/>
    <w:rsid w:val="003E4AFD"/>
    <w:rsid w:val="003F1940"/>
    <w:rsid w:val="003F329E"/>
    <w:rsid w:val="003F48D2"/>
    <w:rsid w:val="0040008E"/>
    <w:rsid w:val="00401F2A"/>
    <w:rsid w:val="00404097"/>
    <w:rsid w:val="00405757"/>
    <w:rsid w:val="00411E20"/>
    <w:rsid w:val="00412911"/>
    <w:rsid w:val="00420E99"/>
    <w:rsid w:val="00421447"/>
    <w:rsid w:val="00421A53"/>
    <w:rsid w:val="00423DED"/>
    <w:rsid w:val="00425A1A"/>
    <w:rsid w:val="004267A8"/>
    <w:rsid w:val="00430DC5"/>
    <w:rsid w:val="004310FD"/>
    <w:rsid w:val="0043488D"/>
    <w:rsid w:val="00434E15"/>
    <w:rsid w:val="004379DC"/>
    <w:rsid w:val="00437FD8"/>
    <w:rsid w:val="004436C5"/>
    <w:rsid w:val="00443CCA"/>
    <w:rsid w:val="00444FB7"/>
    <w:rsid w:val="0044550B"/>
    <w:rsid w:val="00450D8E"/>
    <w:rsid w:val="00454421"/>
    <w:rsid w:val="0046168F"/>
    <w:rsid w:val="00465021"/>
    <w:rsid w:val="00467FC0"/>
    <w:rsid w:val="00470A76"/>
    <w:rsid w:val="00476218"/>
    <w:rsid w:val="004771FE"/>
    <w:rsid w:val="0048190A"/>
    <w:rsid w:val="00482407"/>
    <w:rsid w:val="00483A97"/>
    <w:rsid w:val="0048530D"/>
    <w:rsid w:val="0048622D"/>
    <w:rsid w:val="00486802"/>
    <w:rsid w:val="00486FAE"/>
    <w:rsid w:val="00496E03"/>
    <w:rsid w:val="004A0698"/>
    <w:rsid w:val="004A0A0F"/>
    <w:rsid w:val="004A2D3F"/>
    <w:rsid w:val="004A3606"/>
    <w:rsid w:val="004A46DD"/>
    <w:rsid w:val="004A7E92"/>
    <w:rsid w:val="004B45AD"/>
    <w:rsid w:val="004C01FC"/>
    <w:rsid w:val="004C26E6"/>
    <w:rsid w:val="004C2EB4"/>
    <w:rsid w:val="004C354A"/>
    <w:rsid w:val="004C3ADF"/>
    <w:rsid w:val="004C4EEF"/>
    <w:rsid w:val="004D46DE"/>
    <w:rsid w:val="004D5316"/>
    <w:rsid w:val="004E3127"/>
    <w:rsid w:val="004E3BFF"/>
    <w:rsid w:val="004E4955"/>
    <w:rsid w:val="004F1890"/>
    <w:rsid w:val="004F42E0"/>
    <w:rsid w:val="004F5E53"/>
    <w:rsid w:val="004F7294"/>
    <w:rsid w:val="004F7DF7"/>
    <w:rsid w:val="00500EBA"/>
    <w:rsid w:val="00500FEA"/>
    <w:rsid w:val="00502CB7"/>
    <w:rsid w:val="00504324"/>
    <w:rsid w:val="005070A4"/>
    <w:rsid w:val="00511E92"/>
    <w:rsid w:val="00512189"/>
    <w:rsid w:val="00512CDA"/>
    <w:rsid w:val="00513B3B"/>
    <w:rsid w:val="0051784C"/>
    <w:rsid w:val="0052344E"/>
    <w:rsid w:val="00523AB6"/>
    <w:rsid w:val="005252C1"/>
    <w:rsid w:val="00525347"/>
    <w:rsid w:val="0052599B"/>
    <w:rsid w:val="00526DD6"/>
    <w:rsid w:val="00527739"/>
    <w:rsid w:val="00527D63"/>
    <w:rsid w:val="005328A4"/>
    <w:rsid w:val="00532E88"/>
    <w:rsid w:val="00534D80"/>
    <w:rsid w:val="00535DAE"/>
    <w:rsid w:val="00536722"/>
    <w:rsid w:val="00540308"/>
    <w:rsid w:val="00540851"/>
    <w:rsid w:val="00540DAE"/>
    <w:rsid w:val="0054352A"/>
    <w:rsid w:val="00552412"/>
    <w:rsid w:val="005524DD"/>
    <w:rsid w:val="00555298"/>
    <w:rsid w:val="00561EC8"/>
    <w:rsid w:val="00567C5E"/>
    <w:rsid w:val="00570DE5"/>
    <w:rsid w:val="00571239"/>
    <w:rsid w:val="005713DF"/>
    <w:rsid w:val="00574FE8"/>
    <w:rsid w:val="00576617"/>
    <w:rsid w:val="00581146"/>
    <w:rsid w:val="005845BB"/>
    <w:rsid w:val="0058682C"/>
    <w:rsid w:val="005878BD"/>
    <w:rsid w:val="00591FC3"/>
    <w:rsid w:val="005937CF"/>
    <w:rsid w:val="005937FC"/>
    <w:rsid w:val="0059568E"/>
    <w:rsid w:val="00596C9A"/>
    <w:rsid w:val="005A4DA3"/>
    <w:rsid w:val="005A571B"/>
    <w:rsid w:val="005A76DB"/>
    <w:rsid w:val="005A7756"/>
    <w:rsid w:val="005A7FA6"/>
    <w:rsid w:val="005B353E"/>
    <w:rsid w:val="005B4FB4"/>
    <w:rsid w:val="005B51D7"/>
    <w:rsid w:val="005B5986"/>
    <w:rsid w:val="005C0120"/>
    <w:rsid w:val="005C1577"/>
    <w:rsid w:val="005C2392"/>
    <w:rsid w:val="005C5F53"/>
    <w:rsid w:val="005C65E4"/>
    <w:rsid w:val="005C6CAD"/>
    <w:rsid w:val="005C7DB1"/>
    <w:rsid w:val="005D0CB1"/>
    <w:rsid w:val="005D764A"/>
    <w:rsid w:val="005E00BE"/>
    <w:rsid w:val="005E082C"/>
    <w:rsid w:val="005E48D4"/>
    <w:rsid w:val="005E677D"/>
    <w:rsid w:val="005E6C6C"/>
    <w:rsid w:val="005F1729"/>
    <w:rsid w:val="00606698"/>
    <w:rsid w:val="00610458"/>
    <w:rsid w:val="00610647"/>
    <w:rsid w:val="0061205F"/>
    <w:rsid w:val="00615A17"/>
    <w:rsid w:val="00621495"/>
    <w:rsid w:val="006256B4"/>
    <w:rsid w:val="00627D5E"/>
    <w:rsid w:val="0063521F"/>
    <w:rsid w:val="0064463C"/>
    <w:rsid w:val="00644855"/>
    <w:rsid w:val="00644890"/>
    <w:rsid w:val="00644C62"/>
    <w:rsid w:val="00646054"/>
    <w:rsid w:val="0064652D"/>
    <w:rsid w:val="00646ED2"/>
    <w:rsid w:val="006506A5"/>
    <w:rsid w:val="006512F4"/>
    <w:rsid w:val="00651CE2"/>
    <w:rsid w:val="006545C4"/>
    <w:rsid w:val="00654793"/>
    <w:rsid w:val="00661399"/>
    <w:rsid w:val="0066158B"/>
    <w:rsid w:val="00664D71"/>
    <w:rsid w:val="0066605B"/>
    <w:rsid w:val="006673CE"/>
    <w:rsid w:val="00667E5A"/>
    <w:rsid w:val="0067197D"/>
    <w:rsid w:val="00675CC5"/>
    <w:rsid w:val="00684894"/>
    <w:rsid w:val="0068606B"/>
    <w:rsid w:val="00686C63"/>
    <w:rsid w:val="006916EB"/>
    <w:rsid w:val="00693256"/>
    <w:rsid w:val="00693273"/>
    <w:rsid w:val="00693322"/>
    <w:rsid w:val="0069389B"/>
    <w:rsid w:val="006947E9"/>
    <w:rsid w:val="006A2163"/>
    <w:rsid w:val="006A39C2"/>
    <w:rsid w:val="006A4F7F"/>
    <w:rsid w:val="006A66BE"/>
    <w:rsid w:val="006B1B97"/>
    <w:rsid w:val="006B2B57"/>
    <w:rsid w:val="006B5A91"/>
    <w:rsid w:val="006B7768"/>
    <w:rsid w:val="006C14EB"/>
    <w:rsid w:val="006C2132"/>
    <w:rsid w:val="006C2DB0"/>
    <w:rsid w:val="006C3227"/>
    <w:rsid w:val="006C4C65"/>
    <w:rsid w:val="006C66C0"/>
    <w:rsid w:val="006C6BD3"/>
    <w:rsid w:val="006D0644"/>
    <w:rsid w:val="006D1F6E"/>
    <w:rsid w:val="006D2040"/>
    <w:rsid w:val="006D489C"/>
    <w:rsid w:val="006D5048"/>
    <w:rsid w:val="006E26F1"/>
    <w:rsid w:val="006E2E09"/>
    <w:rsid w:val="006E313E"/>
    <w:rsid w:val="006E6B7F"/>
    <w:rsid w:val="006E6DC5"/>
    <w:rsid w:val="006E6E3F"/>
    <w:rsid w:val="006E79F4"/>
    <w:rsid w:val="006E7BE6"/>
    <w:rsid w:val="006F08CB"/>
    <w:rsid w:val="006F2228"/>
    <w:rsid w:val="006F44DA"/>
    <w:rsid w:val="006F7DA1"/>
    <w:rsid w:val="007003A8"/>
    <w:rsid w:val="007010BF"/>
    <w:rsid w:val="007030F6"/>
    <w:rsid w:val="007038B2"/>
    <w:rsid w:val="007050A5"/>
    <w:rsid w:val="00706249"/>
    <w:rsid w:val="00710393"/>
    <w:rsid w:val="00710A64"/>
    <w:rsid w:val="00713DB0"/>
    <w:rsid w:val="00716100"/>
    <w:rsid w:val="00716A11"/>
    <w:rsid w:val="00717479"/>
    <w:rsid w:val="00720763"/>
    <w:rsid w:val="0072306B"/>
    <w:rsid w:val="0072321D"/>
    <w:rsid w:val="00732126"/>
    <w:rsid w:val="00732270"/>
    <w:rsid w:val="00733359"/>
    <w:rsid w:val="00735911"/>
    <w:rsid w:val="00736EC1"/>
    <w:rsid w:val="0074036B"/>
    <w:rsid w:val="0074547D"/>
    <w:rsid w:val="00746A25"/>
    <w:rsid w:val="00746F24"/>
    <w:rsid w:val="007503B7"/>
    <w:rsid w:val="00753E89"/>
    <w:rsid w:val="007556E9"/>
    <w:rsid w:val="007557F6"/>
    <w:rsid w:val="007562E1"/>
    <w:rsid w:val="007605E1"/>
    <w:rsid w:val="00761DA9"/>
    <w:rsid w:val="00762196"/>
    <w:rsid w:val="00762217"/>
    <w:rsid w:val="007636A4"/>
    <w:rsid w:val="00766666"/>
    <w:rsid w:val="0076686F"/>
    <w:rsid w:val="00766CC8"/>
    <w:rsid w:val="00771641"/>
    <w:rsid w:val="007717D8"/>
    <w:rsid w:val="0077193F"/>
    <w:rsid w:val="00771A45"/>
    <w:rsid w:val="0077726A"/>
    <w:rsid w:val="00781C2A"/>
    <w:rsid w:val="0078699D"/>
    <w:rsid w:val="007874C6"/>
    <w:rsid w:val="00790CD2"/>
    <w:rsid w:val="007936CF"/>
    <w:rsid w:val="007949A9"/>
    <w:rsid w:val="00794DAE"/>
    <w:rsid w:val="00795C00"/>
    <w:rsid w:val="00795C14"/>
    <w:rsid w:val="00796861"/>
    <w:rsid w:val="007A1FA6"/>
    <w:rsid w:val="007A28F6"/>
    <w:rsid w:val="007A50DE"/>
    <w:rsid w:val="007A5D83"/>
    <w:rsid w:val="007A60A6"/>
    <w:rsid w:val="007A683B"/>
    <w:rsid w:val="007A6A3E"/>
    <w:rsid w:val="007B13B3"/>
    <w:rsid w:val="007B2E65"/>
    <w:rsid w:val="007B39A8"/>
    <w:rsid w:val="007B4BE2"/>
    <w:rsid w:val="007B4E3F"/>
    <w:rsid w:val="007B577E"/>
    <w:rsid w:val="007C1010"/>
    <w:rsid w:val="007C22D1"/>
    <w:rsid w:val="007C4C7C"/>
    <w:rsid w:val="007D1C27"/>
    <w:rsid w:val="007D31DA"/>
    <w:rsid w:val="007D3E62"/>
    <w:rsid w:val="007D642C"/>
    <w:rsid w:val="007D6839"/>
    <w:rsid w:val="007E3B90"/>
    <w:rsid w:val="007E6EAA"/>
    <w:rsid w:val="007E7DF8"/>
    <w:rsid w:val="007F10B8"/>
    <w:rsid w:val="007F15C3"/>
    <w:rsid w:val="007F1D7E"/>
    <w:rsid w:val="007F3593"/>
    <w:rsid w:val="00804CBE"/>
    <w:rsid w:val="00806557"/>
    <w:rsid w:val="00806761"/>
    <w:rsid w:val="00807FD9"/>
    <w:rsid w:val="00810D6D"/>
    <w:rsid w:val="00811009"/>
    <w:rsid w:val="00811247"/>
    <w:rsid w:val="0081173B"/>
    <w:rsid w:val="00815860"/>
    <w:rsid w:val="00821561"/>
    <w:rsid w:val="0082329D"/>
    <w:rsid w:val="0082420A"/>
    <w:rsid w:val="008276A9"/>
    <w:rsid w:val="00827CBD"/>
    <w:rsid w:val="008311F5"/>
    <w:rsid w:val="00831AA1"/>
    <w:rsid w:val="00834810"/>
    <w:rsid w:val="008352B8"/>
    <w:rsid w:val="00835855"/>
    <w:rsid w:val="0084287C"/>
    <w:rsid w:val="00844CE7"/>
    <w:rsid w:val="0084551C"/>
    <w:rsid w:val="00847441"/>
    <w:rsid w:val="00854742"/>
    <w:rsid w:val="00855BD1"/>
    <w:rsid w:val="00855CC5"/>
    <w:rsid w:val="00860485"/>
    <w:rsid w:val="00860EA6"/>
    <w:rsid w:val="00861567"/>
    <w:rsid w:val="00861659"/>
    <w:rsid w:val="008662F2"/>
    <w:rsid w:val="0087084E"/>
    <w:rsid w:val="0087146E"/>
    <w:rsid w:val="008718F2"/>
    <w:rsid w:val="00873AF8"/>
    <w:rsid w:val="00875496"/>
    <w:rsid w:val="0087606C"/>
    <w:rsid w:val="00876251"/>
    <w:rsid w:val="008805DA"/>
    <w:rsid w:val="00881D2F"/>
    <w:rsid w:val="00882E65"/>
    <w:rsid w:val="00882ECB"/>
    <w:rsid w:val="00882F59"/>
    <w:rsid w:val="00883DAC"/>
    <w:rsid w:val="00884ADE"/>
    <w:rsid w:val="00897836"/>
    <w:rsid w:val="008A0266"/>
    <w:rsid w:val="008A5947"/>
    <w:rsid w:val="008B4B26"/>
    <w:rsid w:val="008B6403"/>
    <w:rsid w:val="008C5469"/>
    <w:rsid w:val="008D3523"/>
    <w:rsid w:val="008D52FE"/>
    <w:rsid w:val="008D5809"/>
    <w:rsid w:val="008E172F"/>
    <w:rsid w:val="008E18CB"/>
    <w:rsid w:val="008E3765"/>
    <w:rsid w:val="008E38F2"/>
    <w:rsid w:val="008E4F28"/>
    <w:rsid w:val="008E7695"/>
    <w:rsid w:val="008F12B6"/>
    <w:rsid w:val="008F53A6"/>
    <w:rsid w:val="0090351D"/>
    <w:rsid w:val="00912CE9"/>
    <w:rsid w:val="00917CE8"/>
    <w:rsid w:val="00920FD5"/>
    <w:rsid w:val="0092202A"/>
    <w:rsid w:val="00925003"/>
    <w:rsid w:val="00926381"/>
    <w:rsid w:val="00927C0D"/>
    <w:rsid w:val="00933AD2"/>
    <w:rsid w:val="00933BA1"/>
    <w:rsid w:val="00934004"/>
    <w:rsid w:val="00934EC3"/>
    <w:rsid w:val="009360F3"/>
    <w:rsid w:val="00937982"/>
    <w:rsid w:val="00940122"/>
    <w:rsid w:val="00940FE1"/>
    <w:rsid w:val="009435DD"/>
    <w:rsid w:val="009468C3"/>
    <w:rsid w:val="00947FEC"/>
    <w:rsid w:val="00950188"/>
    <w:rsid w:val="0095261B"/>
    <w:rsid w:val="00952ACA"/>
    <w:rsid w:val="00954EEF"/>
    <w:rsid w:val="00961010"/>
    <w:rsid w:val="00961139"/>
    <w:rsid w:val="00963C79"/>
    <w:rsid w:val="00966043"/>
    <w:rsid w:val="009715BC"/>
    <w:rsid w:val="00971ADE"/>
    <w:rsid w:val="009724A3"/>
    <w:rsid w:val="009738B2"/>
    <w:rsid w:val="00974D43"/>
    <w:rsid w:val="009770BA"/>
    <w:rsid w:val="009802FB"/>
    <w:rsid w:val="00980475"/>
    <w:rsid w:val="00983E5F"/>
    <w:rsid w:val="00984C5C"/>
    <w:rsid w:val="0099131B"/>
    <w:rsid w:val="0099203C"/>
    <w:rsid w:val="00993A38"/>
    <w:rsid w:val="00993CA9"/>
    <w:rsid w:val="009A01E8"/>
    <w:rsid w:val="009A0EA5"/>
    <w:rsid w:val="009A420B"/>
    <w:rsid w:val="009A5F4F"/>
    <w:rsid w:val="009B2E8E"/>
    <w:rsid w:val="009B79DB"/>
    <w:rsid w:val="009C1012"/>
    <w:rsid w:val="009C25AF"/>
    <w:rsid w:val="009C4C48"/>
    <w:rsid w:val="009C4C7B"/>
    <w:rsid w:val="009C5E10"/>
    <w:rsid w:val="009D142C"/>
    <w:rsid w:val="009D1A46"/>
    <w:rsid w:val="009D25F5"/>
    <w:rsid w:val="009D67D8"/>
    <w:rsid w:val="009D7543"/>
    <w:rsid w:val="009D75CC"/>
    <w:rsid w:val="009E0BA1"/>
    <w:rsid w:val="009E15A1"/>
    <w:rsid w:val="009E2421"/>
    <w:rsid w:val="009E429C"/>
    <w:rsid w:val="009E4A71"/>
    <w:rsid w:val="009E5749"/>
    <w:rsid w:val="009F078E"/>
    <w:rsid w:val="009F1C9D"/>
    <w:rsid w:val="009F2F8E"/>
    <w:rsid w:val="009F2FC9"/>
    <w:rsid w:val="009F66B5"/>
    <w:rsid w:val="00A00306"/>
    <w:rsid w:val="00A01062"/>
    <w:rsid w:val="00A01896"/>
    <w:rsid w:val="00A01E9C"/>
    <w:rsid w:val="00A070C4"/>
    <w:rsid w:val="00A100B9"/>
    <w:rsid w:val="00A108C3"/>
    <w:rsid w:val="00A10C4B"/>
    <w:rsid w:val="00A110BC"/>
    <w:rsid w:val="00A11938"/>
    <w:rsid w:val="00A13DA6"/>
    <w:rsid w:val="00A147D5"/>
    <w:rsid w:val="00A14970"/>
    <w:rsid w:val="00A15A51"/>
    <w:rsid w:val="00A208AC"/>
    <w:rsid w:val="00A22CD0"/>
    <w:rsid w:val="00A233DC"/>
    <w:rsid w:val="00A23763"/>
    <w:rsid w:val="00A30119"/>
    <w:rsid w:val="00A337BC"/>
    <w:rsid w:val="00A3405B"/>
    <w:rsid w:val="00A35DD0"/>
    <w:rsid w:val="00A36A94"/>
    <w:rsid w:val="00A3775C"/>
    <w:rsid w:val="00A42262"/>
    <w:rsid w:val="00A42A44"/>
    <w:rsid w:val="00A44ABF"/>
    <w:rsid w:val="00A50942"/>
    <w:rsid w:val="00A50EFE"/>
    <w:rsid w:val="00A53791"/>
    <w:rsid w:val="00A55EF9"/>
    <w:rsid w:val="00A57401"/>
    <w:rsid w:val="00A64A84"/>
    <w:rsid w:val="00A656E1"/>
    <w:rsid w:val="00A65E2E"/>
    <w:rsid w:val="00A67018"/>
    <w:rsid w:val="00A748C9"/>
    <w:rsid w:val="00A8183D"/>
    <w:rsid w:val="00A81D63"/>
    <w:rsid w:val="00A82CEB"/>
    <w:rsid w:val="00A86C9B"/>
    <w:rsid w:val="00AA2D17"/>
    <w:rsid w:val="00AA3A38"/>
    <w:rsid w:val="00AA4034"/>
    <w:rsid w:val="00AB0BE2"/>
    <w:rsid w:val="00AB301D"/>
    <w:rsid w:val="00AB3E77"/>
    <w:rsid w:val="00AB4D22"/>
    <w:rsid w:val="00AB5488"/>
    <w:rsid w:val="00AB55A8"/>
    <w:rsid w:val="00AC079C"/>
    <w:rsid w:val="00AC0C11"/>
    <w:rsid w:val="00AC0C26"/>
    <w:rsid w:val="00AC3BDC"/>
    <w:rsid w:val="00AC534D"/>
    <w:rsid w:val="00AC61A0"/>
    <w:rsid w:val="00AD0545"/>
    <w:rsid w:val="00AD4A26"/>
    <w:rsid w:val="00AD633A"/>
    <w:rsid w:val="00AD6A7A"/>
    <w:rsid w:val="00AE08CC"/>
    <w:rsid w:val="00AE0EC1"/>
    <w:rsid w:val="00AE213C"/>
    <w:rsid w:val="00AE4EF3"/>
    <w:rsid w:val="00AE5999"/>
    <w:rsid w:val="00AE5FFA"/>
    <w:rsid w:val="00AE64B7"/>
    <w:rsid w:val="00AF084D"/>
    <w:rsid w:val="00AF27C1"/>
    <w:rsid w:val="00AF4B82"/>
    <w:rsid w:val="00AF5316"/>
    <w:rsid w:val="00AF5C7B"/>
    <w:rsid w:val="00AF6448"/>
    <w:rsid w:val="00AF6AAD"/>
    <w:rsid w:val="00AF732A"/>
    <w:rsid w:val="00B019DA"/>
    <w:rsid w:val="00B01E6A"/>
    <w:rsid w:val="00B07089"/>
    <w:rsid w:val="00B10B6E"/>
    <w:rsid w:val="00B10FF5"/>
    <w:rsid w:val="00B11934"/>
    <w:rsid w:val="00B12540"/>
    <w:rsid w:val="00B127C4"/>
    <w:rsid w:val="00B14AC7"/>
    <w:rsid w:val="00B205E2"/>
    <w:rsid w:val="00B2255B"/>
    <w:rsid w:val="00B2286B"/>
    <w:rsid w:val="00B3282A"/>
    <w:rsid w:val="00B3357C"/>
    <w:rsid w:val="00B35072"/>
    <w:rsid w:val="00B35729"/>
    <w:rsid w:val="00B3730B"/>
    <w:rsid w:val="00B46B58"/>
    <w:rsid w:val="00B47486"/>
    <w:rsid w:val="00B478AD"/>
    <w:rsid w:val="00B50E27"/>
    <w:rsid w:val="00B54BD1"/>
    <w:rsid w:val="00B60D1F"/>
    <w:rsid w:val="00B613EC"/>
    <w:rsid w:val="00B61956"/>
    <w:rsid w:val="00B62367"/>
    <w:rsid w:val="00B6353C"/>
    <w:rsid w:val="00B64DA4"/>
    <w:rsid w:val="00B67236"/>
    <w:rsid w:val="00B67516"/>
    <w:rsid w:val="00B72919"/>
    <w:rsid w:val="00B72FBF"/>
    <w:rsid w:val="00B74B0B"/>
    <w:rsid w:val="00B814E3"/>
    <w:rsid w:val="00B821B7"/>
    <w:rsid w:val="00B84CA5"/>
    <w:rsid w:val="00B876BD"/>
    <w:rsid w:val="00B930D9"/>
    <w:rsid w:val="00B93BF2"/>
    <w:rsid w:val="00B93D18"/>
    <w:rsid w:val="00BA05A5"/>
    <w:rsid w:val="00BA0BE9"/>
    <w:rsid w:val="00BA2E97"/>
    <w:rsid w:val="00BA3AD4"/>
    <w:rsid w:val="00BA6F50"/>
    <w:rsid w:val="00BA7D92"/>
    <w:rsid w:val="00BB262E"/>
    <w:rsid w:val="00BB35AA"/>
    <w:rsid w:val="00BB43A0"/>
    <w:rsid w:val="00BC03DB"/>
    <w:rsid w:val="00BC0C89"/>
    <w:rsid w:val="00BC14E3"/>
    <w:rsid w:val="00BC222C"/>
    <w:rsid w:val="00BC44DA"/>
    <w:rsid w:val="00BC7EAF"/>
    <w:rsid w:val="00BD1486"/>
    <w:rsid w:val="00BD1611"/>
    <w:rsid w:val="00BD3FC2"/>
    <w:rsid w:val="00BD42B9"/>
    <w:rsid w:val="00BD593A"/>
    <w:rsid w:val="00BD679E"/>
    <w:rsid w:val="00BE4D06"/>
    <w:rsid w:val="00BE5BD4"/>
    <w:rsid w:val="00BF08A0"/>
    <w:rsid w:val="00BF45EC"/>
    <w:rsid w:val="00BF5A93"/>
    <w:rsid w:val="00BF64A1"/>
    <w:rsid w:val="00C0129A"/>
    <w:rsid w:val="00C02E52"/>
    <w:rsid w:val="00C033FC"/>
    <w:rsid w:val="00C058C5"/>
    <w:rsid w:val="00C06B59"/>
    <w:rsid w:val="00C160F9"/>
    <w:rsid w:val="00C327AC"/>
    <w:rsid w:val="00C365CE"/>
    <w:rsid w:val="00C37316"/>
    <w:rsid w:val="00C37BBF"/>
    <w:rsid w:val="00C41939"/>
    <w:rsid w:val="00C43C37"/>
    <w:rsid w:val="00C441C6"/>
    <w:rsid w:val="00C4703F"/>
    <w:rsid w:val="00C470FD"/>
    <w:rsid w:val="00C47C21"/>
    <w:rsid w:val="00C51E6B"/>
    <w:rsid w:val="00C55789"/>
    <w:rsid w:val="00C5613A"/>
    <w:rsid w:val="00C56579"/>
    <w:rsid w:val="00C569EE"/>
    <w:rsid w:val="00C56AA5"/>
    <w:rsid w:val="00C605FF"/>
    <w:rsid w:val="00C60B3C"/>
    <w:rsid w:val="00C60F2B"/>
    <w:rsid w:val="00C61A4B"/>
    <w:rsid w:val="00C62B5B"/>
    <w:rsid w:val="00C639BB"/>
    <w:rsid w:val="00C6471D"/>
    <w:rsid w:val="00C66B85"/>
    <w:rsid w:val="00C6715C"/>
    <w:rsid w:val="00C7004C"/>
    <w:rsid w:val="00C708F5"/>
    <w:rsid w:val="00C742D1"/>
    <w:rsid w:val="00C771C7"/>
    <w:rsid w:val="00C7745B"/>
    <w:rsid w:val="00C81FF8"/>
    <w:rsid w:val="00C843C1"/>
    <w:rsid w:val="00C86958"/>
    <w:rsid w:val="00C91960"/>
    <w:rsid w:val="00C92536"/>
    <w:rsid w:val="00C935F3"/>
    <w:rsid w:val="00CA0B37"/>
    <w:rsid w:val="00CA212C"/>
    <w:rsid w:val="00CA40D2"/>
    <w:rsid w:val="00CB0381"/>
    <w:rsid w:val="00CB526F"/>
    <w:rsid w:val="00CC2804"/>
    <w:rsid w:val="00CC3922"/>
    <w:rsid w:val="00CC7072"/>
    <w:rsid w:val="00CD0866"/>
    <w:rsid w:val="00CD1BA4"/>
    <w:rsid w:val="00CD38FC"/>
    <w:rsid w:val="00CD3E72"/>
    <w:rsid w:val="00CD7A17"/>
    <w:rsid w:val="00CE1091"/>
    <w:rsid w:val="00CE40BB"/>
    <w:rsid w:val="00CE4D9E"/>
    <w:rsid w:val="00CE6CBE"/>
    <w:rsid w:val="00CF2661"/>
    <w:rsid w:val="00CF2D81"/>
    <w:rsid w:val="00CF40F9"/>
    <w:rsid w:val="00D021E0"/>
    <w:rsid w:val="00D02BFD"/>
    <w:rsid w:val="00D0467D"/>
    <w:rsid w:val="00D064F8"/>
    <w:rsid w:val="00D06520"/>
    <w:rsid w:val="00D079F5"/>
    <w:rsid w:val="00D10ECC"/>
    <w:rsid w:val="00D1175C"/>
    <w:rsid w:val="00D12F35"/>
    <w:rsid w:val="00D1786A"/>
    <w:rsid w:val="00D202FF"/>
    <w:rsid w:val="00D20F3B"/>
    <w:rsid w:val="00D21A71"/>
    <w:rsid w:val="00D22FC2"/>
    <w:rsid w:val="00D25847"/>
    <w:rsid w:val="00D26C66"/>
    <w:rsid w:val="00D32789"/>
    <w:rsid w:val="00D32EE1"/>
    <w:rsid w:val="00D345BE"/>
    <w:rsid w:val="00D359BA"/>
    <w:rsid w:val="00D36CE3"/>
    <w:rsid w:val="00D4508A"/>
    <w:rsid w:val="00D458DE"/>
    <w:rsid w:val="00D46547"/>
    <w:rsid w:val="00D47F31"/>
    <w:rsid w:val="00D5151D"/>
    <w:rsid w:val="00D51AFD"/>
    <w:rsid w:val="00D528EA"/>
    <w:rsid w:val="00D53C6C"/>
    <w:rsid w:val="00D55D76"/>
    <w:rsid w:val="00D5778E"/>
    <w:rsid w:val="00D62795"/>
    <w:rsid w:val="00D70E5A"/>
    <w:rsid w:val="00D716A4"/>
    <w:rsid w:val="00D73E28"/>
    <w:rsid w:val="00D837E4"/>
    <w:rsid w:val="00D920C2"/>
    <w:rsid w:val="00D924A5"/>
    <w:rsid w:val="00D95070"/>
    <w:rsid w:val="00DA3F25"/>
    <w:rsid w:val="00DA472C"/>
    <w:rsid w:val="00DA5632"/>
    <w:rsid w:val="00DA5AB9"/>
    <w:rsid w:val="00DA738C"/>
    <w:rsid w:val="00DB08A5"/>
    <w:rsid w:val="00DB252F"/>
    <w:rsid w:val="00DB3EE6"/>
    <w:rsid w:val="00DC6840"/>
    <w:rsid w:val="00DC7FAE"/>
    <w:rsid w:val="00DD0D70"/>
    <w:rsid w:val="00DD4366"/>
    <w:rsid w:val="00DD44B2"/>
    <w:rsid w:val="00DD491D"/>
    <w:rsid w:val="00DD56B8"/>
    <w:rsid w:val="00DD5B6D"/>
    <w:rsid w:val="00DD5DBB"/>
    <w:rsid w:val="00DD6DCC"/>
    <w:rsid w:val="00DE19FE"/>
    <w:rsid w:val="00DE6698"/>
    <w:rsid w:val="00DE7E97"/>
    <w:rsid w:val="00DF03C1"/>
    <w:rsid w:val="00DF1CE8"/>
    <w:rsid w:val="00DF311B"/>
    <w:rsid w:val="00DF3346"/>
    <w:rsid w:val="00DF44E6"/>
    <w:rsid w:val="00DF6F37"/>
    <w:rsid w:val="00DF732C"/>
    <w:rsid w:val="00DF75B3"/>
    <w:rsid w:val="00E00C17"/>
    <w:rsid w:val="00E0300E"/>
    <w:rsid w:val="00E06A53"/>
    <w:rsid w:val="00E06EC7"/>
    <w:rsid w:val="00E1020A"/>
    <w:rsid w:val="00E10F2D"/>
    <w:rsid w:val="00E11BCB"/>
    <w:rsid w:val="00E11D3A"/>
    <w:rsid w:val="00E158AA"/>
    <w:rsid w:val="00E17B31"/>
    <w:rsid w:val="00E22F27"/>
    <w:rsid w:val="00E241AF"/>
    <w:rsid w:val="00E24250"/>
    <w:rsid w:val="00E24EB1"/>
    <w:rsid w:val="00E266A0"/>
    <w:rsid w:val="00E27EC3"/>
    <w:rsid w:val="00E303CE"/>
    <w:rsid w:val="00E30984"/>
    <w:rsid w:val="00E30D54"/>
    <w:rsid w:val="00E318FC"/>
    <w:rsid w:val="00E329CE"/>
    <w:rsid w:val="00E32ECA"/>
    <w:rsid w:val="00E34009"/>
    <w:rsid w:val="00E3458D"/>
    <w:rsid w:val="00E36F20"/>
    <w:rsid w:val="00E40354"/>
    <w:rsid w:val="00E40970"/>
    <w:rsid w:val="00E43124"/>
    <w:rsid w:val="00E4524F"/>
    <w:rsid w:val="00E522C0"/>
    <w:rsid w:val="00E55702"/>
    <w:rsid w:val="00E55E15"/>
    <w:rsid w:val="00E56D67"/>
    <w:rsid w:val="00E5755D"/>
    <w:rsid w:val="00E57931"/>
    <w:rsid w:val="00E61593"/>
    <w:rsid w:val="00E63AB7"/>
    <w:rsid w:val="00E67483"/>
    <w:rsid w:val="00E70857"/>
    <w:rsid w:val="00E7276B"/>
    <w:rsid w:val="00E74858"/>
    <w:rsid w:val="00E748F0"/>
    <w:rsid w:val="00E75875"/>
    <w:rsid w:val="00E779B9"/>
    <w:rsid w:val="00E83827"/>
    <w:rsid w:val="00E877E1"/>
    <w:rsid w:val="00E90D85"/>
    <w:rsid w:val="00E93FD1"/>
    <w:rsid w:val="00EA1F9B"/>
    <w:rsid w:val="00EA295D"/>
    <w:rsid w:val="00EA309B"/>
    <w:rsid w:val="00EA3440"/>
    <w:rsid w:val="00EA72D5"/>
    <w:rsid w:val="00EA75FD"/>
    <w:rsid w:val="00EA7973"/>
    <w:rsid w:val="00EB11FB"/>
    <w:rsid w:val="00EB12F5"/>
    <w:rsid w:val="00EB447F"/>
    <w:rsid w:val="00EB4E85"/>
    <w:rsid w:val="00EB799D"/>
    <w:rsid w:val="00EC2DD0"/>
    <w:rsid w:val="00EC4A7E"/>
    <w:rsid w:val="00EC5FFE"/>
    <w:rsid w:val="00EC6233"/>
    <w:rsid w:val="00ED040F"/>
    <w:rsid w:val="00ED1099"/>
    <w:rsid w:val="00ED433E"/>
    <w:rsid w:val="00ED443D"/>
    <w:rsid w:val="00ED555D"/>
    <w:rsid w:val="00ED5F10"/>
    <w:rsid w:val="00ED7154"/>
    <w:rsid w:val="00ED7742"/>
    <w:rsid w:val="00EE3770"/>
    <w:rsid w:val="00EE48D7"/>
    <w:rsid w:val="00EE776C"/>
    <w:rsid w:val="00EF053F"/>
    <w:rsid w:val="00EF0BF0"/>
    <w:rsid w:val="00EF60BF"/>
    <w:rsid w:val="00EF634E"/>
    <w:rsid w:val="00F01379"/>
    <w:rsid w:val="00F02D30"/>
    <w:rsid w:val="00F07AF7"/>
    <w:rsid w:val="00F2717E"/>
    <w:rsid w:val="00F27F38"/>
    <w:rsid w:val="00F32666"/>
    <w:rsid w:val="00F34760"/>
    <w:rsid w:val="00F35BA8"/>
    <w:rsid w:val="00F369BC"/>
    <w:rsid w:val="00F41645"/>
    <w:rsid w:val="00F439D2"/>
    <w:rsid w:val="00F43FAE"/>
    <w:rsid w:val="00F47D10"/>
    <w:rsid w:val="00F5012C"/>
    <w:rsid w:val="00F504BA"/>
    <w:rsid w:val="00F50FA8"/>
    <w:rsid w:val="00F54F2B"/>
    <w:rsid w:val="00F570D4"/>
    <w:rsid w:val="00F6376E"/>
    <w:rsid w:val="00F63F6F"/>
    <w:rsid w:val="00F6457E"/>
    <w:rsid w:val="00F6504D"/>
    <w:rsid w:val="00F65253"/>
    <w:rsid w:val="00F65871"/>
    <w:rsid w:val="00F66A06"/>
    <w:rsid w:val="00F6728C"/>
    <w:rsid w:val="00F674D0"/>
    <w:rsid w:val="00F71374"/>
    <w:rsid w:val="00F7296E"/>
    <w:rsid w:val="00F73496"/>
    <w:rsid w:val="00F73DD3"/>
    <w:rsid w:val="00F74E57"/>
    <w:rsid w:val="00F76156"/>
    <w:rsid w:val="00F83BD1"/>
    <w:rsid w:val="00F8592B"/>
    <w:rsid w:val="00F93ECA"/>
    <w:rsid w:val="00F95927"/>
    <w:rsid w:val="00FA058B"/>
    <w:rsid w:val="00FA139E"/>
    <w:rsid w:val="00FA16FF"/>
    <w:rsid w:val="00FA1975"/>
    <w:rsid w:val="00FA45E6"/>
    <w:rsid w:val="00FA4AFF"/>
    <w:rsid w:val="00FA6148"/>
    <w:rsid w:val="00FA677F"/>
    <w:rsid w:val="00FA6AFF"/>
    <w:rsid w:val="00FB001D"/>
    <w:rsid w:val="00FB3603"/>
    <w:rsid w:val="00FB4713"/>
    <w:rsid w:val="00FC1F00"/>
    <w:rsid w:val="00FC2806"/>
    <w:rsid w:val="00FC441A"/>
    <w:rsid w:val="00FC57AC"/>
    <w:rsid w:val="00FD10AD"/>
    <w:rsid w:val="00FD1693"/>
    <w:rsid w:val="00FD47BD"/>
    <w:rsid w:val="00FD4864"/>
    <w:rsid w:val="00FD6040"/>
    <w:rsid w:val="00FE0371"/>
    <w:rsid w:val="00FE0971"/>
    <w:rsid w:val="00FE6235"/>
    <w:rsid w:val="00FF60F2"/>
    <w:rsid w:val="00FF76E8"/>
    <w:rsid w:val="057576A8"/>
    <w:rsid w:val="06C57B04"/>
    <w:rsid w:val="08BB5622"/>
    <w:rsid w:val="0BFF16A5"/>
    <w:rsid w:val="0C645DF5"/>
    <w:rsid w:val="0DA970D9"/>
    <w:rsid w:val="14942891"/>
    <w:rsid w:val="14D2237F"/>
    <w:rsid w:val="1675224E"/>
    <w:rsid w:val="16D8458B"/>
    <w:rsid w:val="17A40813"/>
    <w:rsid w:val="1A700D7D"/>
    <w:rsid w:val="1A9133CF"/>
    <w:rsid w:val="1E426EBA"/>
    <w:rsid w:val="36794FEB"/>
    <w:rsid w:val="374B6D1D"/>
    <w:rsid w:val="39C24EFB"/>
    <w:rsid w:val="3EAF3CA0"/>
    <w:rsid w:val="436F1C50"/>
    <w:rsid w:val="43B43B06"/>
    <w:rsid w:val="455E27DA"/>
    <w:rsid w:val="49BA174B"/>
    <w:rsid w:val="4C115F9A"/>
    <w:rsid w:val="4CE27936"/>
    <w:rsid w:val="4D9A3D6D"/>
    <w:rsid w:val="4DBC3CE3"/>
    <w:rsid w:val="4E4A7541"/>
    <w:rsid w:val="52097713"/>
    <w:rsid w:val="5EB34C8F"/>
    <w:rsid w:val="5EDB5F93"/>
    <w:rsid w:val="5F110010"/>
    <w:rsid w:val="65314B5F"/>
    <w:rsid w:val="66772A46"/>
    <w:rsid w:val="6B5E41D4"/>
    <w:rsid w:val="6D2C0EB7"/>
    <w:rsid w:val="7D2F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i/>
      <w:iCs/>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qFormat/>
    <w:uiPriority w:val="0"/>
    <w:pPr>
      <w:ind w:left="100" w:leftChars="2500"/>
    </w:pPr>
    <w:rPr>
      <w:rFonts w:ascii="宋体" w:hAnsi="宋体"/>
      <w:b/>
      <w:bCs/>
      <w:sz w:val="24"/>
    </w:rPr>
  </w:style>
  <w:style w:type="paragraph" w:styleId="4">
    <w:name w:val="Balloon Text"/>
    <w:basedOn w:val="1"/>
    <w:link w:val="12"/>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Placeholder Text"/>
    <w:basedOn w:val="9"/>
    <w:semiHidden/>
    <w:qFormat/>
    <w:uiPriority w:val="99"/>
    <w:rPr>
      <w:color w:val="808080"/>
    </w:rPr>
  </w:style>
  <w:style w:type="character" w:customStyle="1" w:styleId="12">
    <w:name w:val="批注框文本 字符"/>
    <w:basedOn w:val="9"/>
    <w:link w:val="4"/>
    <w:qFormat/>
    <w:uiPriority w:val="0"/>
    <w:rPr>
      <w:kern w:val="2"/>
      <w:sz w:val="18"/>
      <w:szCs w:val="18"/>
    </w:rPr>
  </w:style>
  <w:style w:type="character" w:customStyle="1" w:styleId="13">
    <w:name w:val="页脚 字符"/>
    <w:basedOn w:val="9"/>
    <w:link w:val="5"/>
    <w:qFormat/>
    <w:uiPriority w:val="99"/>
    <w:rPr>
      <w:kern w:val="2"/>
      <w:sz w:val="18"/>
      <w:szCs w:val="18"/>
    </w:rPr>
  </w:style>
  <w:style w:type="character" w:customStyle="1" w:styleId="14">
    <w:name w:val="正文文本 (2)_"/>
    <w:link w:val="15"/>
    <w:qFormat/>
    <w:locked/>
    <w:uiPriority w:val="99"/>
    <w:rPr>
      <w:rFonts w:ascii="宋体" w:hAnsi="宋体" w:cs="宋体"/>
      <w:shd w:val="clear" w:color="auto" w:fill="FFFFFF"/>
      <w:lang w:val="zh-TW" w:eastAsia="zh-TW"/>
    </w:rPr>
  </w:style>
  <w:style w:type="paragraph" w:customStyle="1" w:styleId="15">
    <w:name w:val="正文文本 (2)1"/>
    <w:basedOn w:val="1"/>
    <w:link w:val="14"/>
    <w:qFormat/>
    <w:uiPriority w:val="99"/>
    <w:pPr>
      <w:shd w:val="clear" w:color="auto" w:fill="FFFFFF"/>
      <w:spacing w:before="180" w:line="326" w:lineRule="exact"/>
      <w:jc w:val="left"/>
    </w:pPr>
    <w:rPr>
      <w:rFonts w:ascii="宋体" w:hAnsi="宋体" w:cs="宋体"/>
      <w:kern w:val="0"/>
      <w:sz w:val="20"/>
      <w:szCs w:val="20"/>
      <w:lang w:val="zh-TW" w:eastAsia="zh-TW"/>
    </w:rPr>
  </w:style>
  <w:style w:type="character" w:customStyle="1" w:styleId="16">
    <w:name w:val="font61"/>
    <w:basedOn w:val="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7" Type="http://schemas.openxmlformats.org/officeDocument/2006/relationships/fontTable" Target="fontTable.xml"/><Relationship Id="rId96" Type="http://schemas.openxmlformats.org/officeDocument/2006/relationships/customXml" Target="../customXml/item1.xml"/><Relationship Id="rId95" Type="http://schemas.openxmlformats.org/officeDocument/2006/relationships/oleObject" Target="embeddings/oleObject64.bin"/><Relationship Id="rId94" Type="http://schemas.openxmlformats.org/officeDocument/2006/relationships/oleObject" Target="embeddings/oleObject63.bin"/><Relationship Id="rId93" Type="http://schemas.openxmlformats.org/officeDocument/2006/relationships/oleObject" Target="embeddings/oleObject62.bin"/><Relationship Id="rId92" Type="http://schemas.openxmlformats.org/officeDocument/2006/relationships/oleObject" Target="embeddings/oleObject61.bin"/><Relationship Id="rId91" Type="http://schemas.openxmlformats.org/officeDocument/2006/relationships/oleObject" Target="embeddings/oleObject60.bin"/><Relationship Id="rId90" Type="http://schemas.openxmlformats.org/officeDocument/2006/relationships/oleObject" Target="embeddings/oleObject59.bin"/><Relationship Id="rId9" Type="http://schemas.openxmlformats.org/officeDocument/2006/relationships/header" Target="header4.xml"/><Relationship Id="rId89" Type="http://schemas.openxmlformats.org/officeDocument/2006/relationships/oleObject" Target="embeddings/oleObject58.bin"/><Relationship Id="rId88" Type="http://schemas.openxmlformats.org/officeDocument/2006/relationships/oleObject" Target="embeddings/oleObject57.bin"/><Relationship Id="rId87" Type="http://schemas.openxmlformats.org/officeDocument/2006/relationships/oleObject" Target="embeddings/oleObject56.bin"/><Relationship Id="rId86" Type="http://schemas.openxmlformats.org/officeDocument/2006/relationships/oleObject" Target="embeddings/oleObject55.bin"/><Relationship Id="rId85" Type="http://schemas.openxmlformats.org/officeDocument/2006/relationships/oleObject" Target="embeddings/oleObject54.bin"/><Relationship Id="rId84" Type="http://schemas.openxmlformats.org/officeDocument/2006/relationships/oleObject" Target="embeddings/oleObject53.bin"/><Relationship Id="rId83" Type="http://schemas.openxmlformats.org/officeDocument/2006/relationships/oleObject" Target="embeddings/oleObject52.bin"/><Relationship Id="rId82" Type="http://schemas.openxmlformats.org/officeDocument/2006/relationships/oleObject" Target="embeddings/oleObject51.bin"/><Relationship Id="rId81" Type="http://schemas.openxmlformats.org/officeDocument/2006/relationships/oleObject" Target="embeddings/oleObject50.bin"/><Relationship Id="rId80" Type="http://schemas.openxmlformats.org/officeDocument/2006/relationships/oleObject" Target="embeddings/oleObject49.bin"/><Relationship Id="rId8" Type="http://schemas.openxmlformats.org/officeDocument/2006/relationships/footer" Target="footer3.xml"/><Relationship Id="rId79" Type="http://schemas.openxmlformats.org/officeDocument/2006/relationships/oleObject" Target="embeddings/oleObject48.bin"/><Relationship Id="rId78" Type="http://schemas.openxmlformats.org/officeDocument/2006/relationships/oleObject" Target="embeddings/oleObject47.bin"/><Relationship Id="rId77" Type="http://schemas.openxmlformats.org/officeDocument/2006/relationships/oleObject" Target="embeddings/oleObject46.bin"/><Relationship Id="rId76" Type="http://schemas.openxmlformats.org/officeDocument/2006/relationships/oleObject" Target="embeddings/oleObject45.bin"/><Relationship Id="rId75" Type="http://schemas.openxmlformats.org/officeDocument/2006/relationships/oleObject" Target="embeddings/oleObject44.bin"/><Relationship Id="rId74" Type="http://schemas.openxmlformats.org/officeDocument/2006/relationships/oleObject" Target="embeddings/oleObject43.bin"/><Relationship Id="rId73" Type="http://schemas.openxmlformats.org/officeDocument/2006/relationships/oleObject" Target="embeddings/oleObject42.bin"/><Relationship Id="rId72" Type="http://schemas.openxmlformats.org/officeDocument/2006/relationships/oleObject" Target="embeddings/oleObject41.bin"/><Relationship Id="rId71" Type="http://schemas.openxmlformats.org/officeDocument/2006/relationships/oleObject" Target="embeddings/oleObject40.bin"/><Relationship Id="rId70" Type="http://schemas.openxmlformats.org/officeDocument/2006/relationships/oleObject" Target="embeddings/oleObject39.bin"/><Relationship Id="rId7" Type="http://schemas.openxmlformats.org/officeDocument/2006/relationships/footer" Target="footer2.xml"/><Relationship Id="rId69" Type="http://schemas.openxmlformats.org/officeDocument/2006/relationships/image" Target="media/image20.wmf"/><Relationship Id="rId68" Type="http://schemas.openxmlformats.org/officeDocument/2006/relationships/oleObject" Target="embeddings/oleObject38.bin"/><Relationship Id="rId67" Type="http://schemas.openxmlformats.org/officeDocument/2006/relationships/image" Target="media/image19.wmf"/><Relationship Id="rId66" Type="http://schemas.openxmlformats.org/officeDocument/2006/relationships/oleObject" Target="embeddings/oleObject37.bin"/><Relationship Id="rId65" Type="http://schemas.openxmlformats.org/officeDocument/2006/relationships/image" Target="media/image18.wmf"/><Relationship Id="rId64" Type="http://schemas.openxmlformats.org/officeDocument/2006/relationships/oleObject" Target="embeddings/oleObject36.bin"/><Relationship Id="rId63" Type="http://schemas.openxmlformats.org/officeDocument/2006/relationships/image" Target="media/image17.wmf"/><Relationship Id="rId62" Type="http://schemas.openxmlformats.org/officeDocument/2006/relationships/oleObject" Target="embeddings/oleObject35.bin"/><Relationship Id="rId61" Type="http://schemas.openxmlformats.org/officeDocument/2006/relationships/image" Target="media/image16.wmf"/><Relationship Id="rId60" Type="http://schemas.openxmlformats.org/officeDocument/2006/relationships/oleObject" Target="embeddings/oleObject34.bin"/><Relationship Id="rId6" Type="http://schemas.openxmlformats.org/officeDocument/2006/relationships/footer" Target="footer1.xml"/><Relationship Id="rId59" Type="http://schemas.openxmlformats.org/officeDocument/2006/relationships/image" Target="media/image15.wmf"/><Relationship Id="rId58" Type="http://schemas.openxmlformats.org/officeDocument/2006/relationships/oleObject" Target="embeddings/oleObject33.bin"/><Relationship Id="rId57" Type="http://schemas.openxmlformats.org/officeDocument/2006/relationships/image" Target="media/image14.wmf"/><Relationship Id="rId56" Type="http://schemas.openxmlformats.org/officeDocument/2006/relationships/oleObject" Target="embeddings/oleObject32.bin"/><Relationship Id="rId55" Type="http://schemas.openxmlformats.org/officeDocument/2006/relationships/image" Target="media/image13.wmf"/><Relationship Id="rId54" Type="http://schemas.openxmlformats.org/officeDocument/2006/relationships/oleObject" Target="embeddings/oleObject31.bin"/><Relationship Id="rId53" Type="http://schemas.openxmlformats.org/officeDocument/2006/relationships/image" Target="media/image12.wmf"/><Relationship Id="rId52" Type="http://schemas.openxmlformats.org/officeDocument/2006/relationships/oleObject" Target="embeddings/oleObject30.bin"/><Relationship Id="rId51" Type="http://schemas.openxmlformats.org/officeDocument/2006/relationships/image" Target="media/image11.wmf"/><Relationship Id="rId50" Type="http://schemas.openxmlformats.org/officeDocument/2006/relationships/oleObject" Target="embeddings/oleObject29.bin"/><Relationship Id="rId5" Type="http://schemas.openxmlformats.org/officeDocument/2006/relationships/header" Target="header3.xml"/><Relationship Id="rId49" Type="http://schemas.openxmlformats.org/officeDocument/2006/relationships/oleObject" Target="embeddings/oleObject28.bin"/><Relationship Id="rId48" Type="http://schemas.openxmlformats.org/officeDocument/2006/relationships/oleObject" Target="embeddings/oleObject27.bin"/><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image" Target="media/image10.wmf"/><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header" Target="header2.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image" Target="media/image9.wmf"/><Relationship Id="rId31" Type="http://schemas.openxmlformats.org/officeDocument/2006/relationships/oleObject" Target="embeddings/oleObject12.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7.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image" Target="media/image6.wmf"/><Relationship Id="rId23" Type="http://schemas.openxmlformats.org/officeDocument/2006/relationships/oleObject" Target="embeddings/oleObject7.bin"/><Relationship Id="rId22" Type="http://schemas.openxmlformats.org/officeDocument/2006/relationships/image" Target="media/image5.wmf"/><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C75CA-CDA7-4C6D-A5B6-86D55EA26988}">
  <ds:schemaRefs/>
</ds:datastoreItem>
</file>

<file path=docProps/app.xml><?xml version="1.0" encoding="utf-8"?>
<Properties xmlns="http://schemas.openxmlformats.org/officeDocument/2006/extended-properties" xmlns:vt="http://schemas.openxmlformats.org/officeDocument/2006/docPropsVTypes">
  <Template>Normal</Template>
  <Pages>8</Pages>
  <Words>2872</Words>
  <Characters>4314</Characters>
  <Lines>46</Lines>
  <Paragraphs>12</Paragraphs>
  <TotalTime>10</TotalTime>
  <ScaleCrop>false</ScaleCrop>
  <LinksUpToDate>false</LinksUpToDate>
  <CharactersWithSpaces>4734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2026-04-27T06:21:00Z</dcterms:created>
  <dc:creator>watermelon</dc:creator>
  <cp:lastModifiedBy>cuih</cp:lastModifiedBy>
  <cp:lastPrinted>2025-08-29T06:54:00Z</cp:lastPrinted>
  <dcterms:modified xsi:type="dcterms:W3CDTF">2026-08-05T11:02:34Z</dcterms:modified>
  <dc:title>模拟式直流功率表示值误差测量结果的不确定度评定</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2052-12.1.0.26895</vt:lpwstr>
  </property>
  <property fmtid="{D5CDD505-2E9C-101B-9397-08002B2CF9AE}" pid="4" name="ICV">
    <vt:lpwstr>91D4DC8E61964B1BB6DCD8C521F04438_13</vt:lpwstr>
  </property>
  <property fmtid="{D5CDD505-2E9C-101B-9397-08002B2CF9AE}" pid="5" name="KSOTemplateDocerSaveRecord">
    <vt:lpwstr>eyJoZGlkIjoiZjk2Mzc4MzU2NjY1NDUyNDMwNTllN2YxYzg4YzAxNmYiLCJ1c2VySWQiOiIxMTAzNTgzOTc0In0=</vt:lpwstr>
  </property>
</Properties>
</file>